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253FA" w14:textId="77777777" w:rsidR="008F7F1E" w:rsidRPr="008F7F1E" w:rsidRDefault="008F7F1E" w:rsidP="008F7F1E">
      <w:pPr>
        <w:spacing w:after="0" w:line="276" w:lineRule="auto"/>
        <w:ind w:left="-142" w:firstLine="142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u w:color="000000"/>
          <w:lang w:val="en-US"/>
        </w:rPr>
      </w:pPr>
      <w:r w:rsidRPr="008F7F1E">
        <w:rPr>
          <w:rFonts w:ascii="Arial" w:eastAsia="Calibri" w:hAnsi="Arial" w:cs="Arial"/>
          <w:b/>
          <w:bCs/>
          <w:color w:val="000000"/>
          <w:sz w:val="28"/>
          <w:szCs w:val="28"/>
          <w:u w:color="000000"/>
          <w:lang w:val="en-US"/>
        </w:rPr>
        <w:t xml:space="preserve">Non-binding demand indications by network </w:t>
      </w:r>
    </w:p>
    <w:p w14:paraId="2ABC8825" w14:textId="77777777" w:rsidR="008F7F1E" w:rsidRPr="008F7F1E" w:rsidRDefault="008F7F1E" w:rsidP="008F7F1E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u w:color="000000"/>
          <w:lang w:val="en-US"/>
        </w:rPr>
      </w:pPr>
      <w:r w:rsidRPr="008F7F1E">
        <w:rPr>
          <w:rFonts w:ascii="Arial" w:eastAsia="Calibri" w:hAnsi="Arial" w:cs="Arial"/>
          <w:b/>
          <w:bCs/>
          <w:color w:val="000000"/>
          <w:sz w:val="28"/>
          <w:szCs w:val="28"/>
          <w:u w:color="000000"/>
          <w:lang w:val="en-US"/>
        </w:rPr>
        <w:t>users for incremental capacity</w:t>
      </w:r>
    </w:p>
    <w:p w14:paraId="1DBFC39E" w14:textId="77777777" w:rsidR="008F7F1E" w:rsidRPr="008F7F1E" w:rsidRDefault="008F7F1E" w:rsidP="008F7F1E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lt-LT"/>
        </w:rPr>
      </w:pPr>
    </w:p>
    <w:p w14:paraId="60C04582" w14:textId="77777777" w:rsidR="008F7F1E" w:rsidRPr="008F7F1E" w:rsidRDefault="008F7F1E" w:rsidP="008F7F1E">
      <w:pPr>
        <w:shd w:val="clear" w:color="auto" w:fill="FFFFFF"/>
        <w:spacing w:before="120" w:after="120" w:line="276" w:lineRule="auto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lt-LT"/>
        </w:rPr>
      </w:pPr>
    </w:p>
    <w:tbl>
      <w:tblPr>
        <w:tblW w:w="10286" w:type="dxa"/>
        <w:tblInd w:w="-658" w:type="dxa"/>
        <w:tblLook w:val="04A0" w:firstRow="1" w:lastRow="0" w:firstColumn="1" w:lastColumn="0" w:noHBand="0" w:noVBand="1"/>
      </w:tblPr>
      <w:tblGrid>
        <w:gridCol w:w="646"/>
        <w:gridCol w:w="1475"/>
        <w:gridCol w:w="1819"/>
        <w:gridCol w:w="1509"/>
        <w:gridCol w:w="1671"/>
        <w:gridCol w:w="1351"/>
        <w:gridCol w:w="1815"/>
      </w:tblGrid>
      <w:tr w:rsidR="008F7F1E" w:rsidRPr="008F7F1E" w14:paraId="55012760" w14:textId="77777777" w:rsidTr="008F7F1E">
        <w:trPr>
          <w:trHeight w:val="645"/>
        </w:trPr>
        <w:tc>
          <w:tcPr>
            <w:tcW w:w="653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</w:tcPr>
          <w:p w14:paraId="4B378682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No.</w:t>
            </w:r>
          </w:p>
        </w:tc>
        <w:tc>
          <w:tcPr>
            <w:tcW w:w="1475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  <w:noWrap/>
            <w:hideMark/>
          </w:tcPr>
          <w:p w14:paraId="2C3013DA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From</w:t>
            </w:r>
          </w:p>
        </w:tc>
        <w:tc>
          <w:tcPr>
            <w:tcW w:w="1819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hideMark/>
          </w:tcPr>
          <w:p w14:paraId="4B7657E1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To</w:t>
            </w:r>
          </w:p>
        </w:tc>
        <w:tc>
          <w:tcPr>
            <w:tcW w:w="150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hideMark/>
          </w:tcPr>
          <w:p w14:paraId="161629BC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Gas year</w:t>
            </w:r>
          </w:p>
        </w:tc>
        <w:tc>
          <w:tcPr>
            <w:tcW w:w="167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hideMark/>
          </w:tcPr>
          <w:p w14:paraId="6B4BC059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Amount</w:t>
            </w:r>
          </w:p>
        </w:tc>
        <w:tc>
          <w:tcPr>
            <w:tcW w:w="1348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  <w:hideMark/>
          </w:tcPr>
          <w:p w14:paraId="541F193B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Request is submitted to other TSOs</w:t>
            </w:r>
          </w:p>
        </w:tc>
        <w:tc>
          <w:tcPr>
            <w:tcW w:w="181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vAlign w:val="center"/>
            <w:hideMark/>
          </w:tcPr>
          <w:p w14:paraId="4817D2DC" w14:textId="77777777" w:rsidR="008F7F1E" w:rsidRPr="008F7F1E" w:rsidRDefault="008F7F1E" w:rsidP="008F7F1E">
            <w:pPr>
              <w:spacing w:after="0" w:line="240" w:lineRule="auto"/>
              <w:ind w:left="-142" w:right="-15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Conditions</w:t>
            </w:r>
          </w:p>
        </w:tc>
      </w:tr>
      <w:tr w:rsidR="008F7F1E" w:rsidRPr="008F7F1E" w14:paraId="7CDA7893" w14:textId="77777777" w:rsidTr="008F7F1E">
        <w:trPr>
          <w:trHeight w:val="7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</w:tcPr>
          <w:p w14:paraId="28506578" w14:textId="77777777" w:rsidR="008F7F1E" w:rsidRPr="008F7F1E" w:rsidRDefault="008F7F1E" w:rsidP="008F7F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  <w:hideMark/>
          </w:tcPr>
          <w:p w14:paraId="2F516D09" w14:textId="77777777" w:rsidR="008F7F1E" w:rsidRPr="008F7F1E" w:rsidRDefault="008F7F1E" w:rsidP="008F7F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[entry-exit system name]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/>
            <w:hideMark/>
          </w:tcPr>
          <w:p w14:paraId="61D0ADD6" w14:textId="77777777" w:rsidR="008F7F1E" w:rsidRPr="008F7F1E" w:rsidRDefault="008F7F1E" w:rsidP="008F7F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[entry-exit system name]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hideMark/>
          </w:tcPr>
          <w:p w14:paraId="1DA9D418" w14:textId="77777777" w:rsidR="008F7F1E" w:rsidRPr="008F7F1E" w:rsidRDefault="008F7F1E" w:rsidP="008F7F1E">
            <w:pPr>
              <w:spacing w:after="0"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[mm.yyyy/</w:t>
            </w:r>
          </w:p>
          <w:p w14:paraId="173A5F08" w14:textId="77777777" w:rsidR="008F7F1E" w:rsidRPr="008F7F1E" w:rsidRDefault="008F7F1E" w:rsidP="008F7F1E">
            <w:pPr>
              <w:spacing w:after="0"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mmmyyyy+1]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  <w:hideMark/>
          </w:tcPr>
          <w:p w14:paraId="355C863B" w14:textId="77777777" w:rsidR="008F7F1E" w:rsidRPr="008F7F1E" w:rsidRDefault="008F7F1E" w:rsidP="008F7F1E">
            <w:pPr>
              <w:spacing w:after="0" w:line="240" w:lineRule="auto"/>
              <w:ind w:left="-91"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[Please indicate unit: (kWh/d/y)]</w:t>
            </w:r>
          </w:p>
        </w:tc>
        <w:tc>
          <w:tcPr>
            <w:tcW w:w="1348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  <w:vAlign w:val="center"/>
            <w:hideMark/>
          </w:tcPr>
          <w:p w14:paraId="3996547C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hideMark/>
          </w:tcPr>
          <w:p w14:paraId="5733E4B9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8F7F1E" w:rsidRPr="008F7F1E" w14:paraId="466DBFD0" w14:textId="77777777" w:rsidTr="008F7F1E">
        <w:trPr>
          <w:trHeight w:val="10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</w:tcPr>
          <w:p w14:paraId="6450AAC4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  <w:vAlign w:val="bottom"/>
            <w:hideMark/>
          </w:tcPr>
          <w:p w14:paraId="05B41BB7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"EXIT CAPACITY"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/>
            <w:vAlign w:val="bottom"/>
            <w:hideMark/>
          </w:tcPr>
          <w:p w14:paraId="6997EE48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"ENTRY CAPACITY"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vAlign w:val="bottom"/>
            <w:hideMark/>
          </w:tcPr>
          <w:p w14:paraId="049D1FD8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/>
            <w:vAlign w:val="center"/>
            <w:hideMark/>
          </w:tcPr>
          <w:p w14:paraId="1ADB5339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hideMark/>
          </w:tcPr>
          <w:p w14:paraId="6B147C8F" w14:textId="77777777" w:rsidR="008F7F1E" w:rsidRPr="008F7F1E" w:rsidRDefault="008F7F1E" w:rsidP="008F7F1E">
            <w:pPr>
              <w:spacing w:after="0" w:line="240" w:lineRule="auto"/>
              <w:ind w:left="-75"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[yes, TSO] or [no]      (detailed information shall be provided below)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/>
            <w:noWrap/>
            <w:vAlign w:val="center"/>
            <w:hideMark/>
          </w:tcPr>
          <w:p w14:paraId="0BFB6566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8F7F1E" w:rsidRPr="008F7F1E" w14:paraId="10A8F089" w14:textId="77777777" w:rsidTr="008F7F1E">
        <w:trPr>
          <w:trHeight w:val="982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</w:tcPr>
          <w:p w14:paraId="7B646C85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noWrap/>
            <w:vAlign w:val="center"/>
            <w:hideMark/>
          </w:tcPr>
          <w:p w14:paraId="56A421FA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/>
            <w:noWrap/>
            <w:vAlign w:val="center"/>
            <w:hideMark/>
          </w:tcPr>
          <w:p w14:paraId="71B850CE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/>
            <w:noWrap/>
            <w:vAlign w:val="center"/>
            <w:hideMark/>
          </w:tcPr>
          <w:p w14:paraId="4700D8A2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/>
            <w:noWrap/>
            <w:vAlign w:val="center"/>
            <w:hideMark/>
          </w:tcPr>
          <w:p w14:paraId="0683AAFA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/>
            <w:vAlign w:val="center"/>
            <w:hideMark/>
          </w:tcPr>
          <w:p w14:paraId="0442F06C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/>
            <w:noWrap/>
            <w:vAlign w:val="center"/>
            <w:hideMark/>
          </w:tcPr>
          <w:p w14:paraId="170E0A2C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8F7F1E" w:rsidRPr="008F7F1E" w14:paraId="2F8A7959" w14:textId="77777777" w:rsidTr="004D42D3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743D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418120A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...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A78E737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B4B242A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CB72A69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29E2DF1A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F95C3EE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F7F1E" w:rsidRPr="008F7F1E" w14:paraId="5C2CA297" w14:textId="77777777" w:rsidTr="004D42D3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5E16C8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A9CF37D" w14:textId="77777777" w:rsidR="008F7F1E" w:rsidRPr="008F7F1E" w:rsidRDefault="008F7F1E" w:rsidP="008F7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...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235CD90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51BEE45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B90A88D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579F211B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EC5FAA1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F7F1E" w:rsidRPr="008F7F1E" w14:paraId="6C52FF3A" w14:textId="77777777" w:rsidTr="004D42D3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666C39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F5299BA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EE0584D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FA852D3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77E1BC1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4BFB904E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CDBEE56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F7F1E" w:rsidRPr="008F7F1E" w14:paraId="29D0F0FF" w14:textId="77777777" w:rsidTr="004D42D3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1657CB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F32ED2C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FC19671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0B51E47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F577099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8875926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B73F027" w14:textId="77777777" w:rsidR="008F7F1E" w:rsidRPr="008F7F1E" w:rsidRDefault="008F7F1E" w:rsidP="008F7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</w:pPr>
            <w:r w:rsidRPr="008F7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14:paraId="4FBA1E9C" w14:textId="77777777" w:rsidR="008F7F1E" w:rsidRPr="008F7F1E" w:rsidRDefault="008F7F1E" w:rsidP="008F7F1E">
      <w:pPr>
        <w:spacing w:after="0" w:line="276" w:lineRule="auto"/>
        <w:contextualSpacing/>
        <w:jc w:val="both"/>
        <w:rPr>
          <w:rFonts w:ascii="Arial" w:eastAsia="Calibri" w:hAnsi="Arial" w:cs="Arial"/>
          <w:iCs/>
          <w:sz w:val="20"/>
          <w:szCs w:val="20"/>
          <w:lang w:val="en-GB"/>
        </w:rPr>
      </w:pPr>
    </w:p>
    <w:p w14:paraId="32351473" w14:textId="77777777" w:rsidR="008F7F1E" w:rsidRPr="008F7F1E" w:rsidRDefault="008F7F1E" w:rsidP="008F7F1E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F7F1E">
        <w:rPr>
          <w:rFonts w:ascii="Arial" w:eastAsia="Times New Roman" w:hAnsi="Arial" w:cs="Arial"/>
          <w:sz w:val="24"/>
          <w:szCs w:val="24"/>
          <w:lang w:val="en-GB" w:eastAsia="en-GB"/>
        </w:rPr>
        <w:t>For submitting non-binding demand indications for incremental capacity according to the process described in Article 26.8 of Regulation (EU) 2017/459 please provide the following information:</w:t>
      </w:r>
    </w:p>
    <w:p w14:paraId="395E4815" w14:textId="77777777" w:rsidR="008F7F1E" w:rsidRPr="008F7F1E" w:rsidRDefault="008F7F1E" w:rsidP="008F7F1E">
      <w:pPr>
        <w:numPr>
          <w:ilvl w:val="0"/>
          <w:numId w:val="1"/>
        </w:numPr>
        <w:spacing w:before="120" w:after="120" w:line="276" w:lineRule="auto"/>
        <w:ind w:left="364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F7F1E">
        <w:rPr>
          <w:rFonts w:ascii="Arial" w:eastAsia="Times New Roman" w:hAnsi="Arial" w:cs="Arial"/>
          <w:sz w:val="24"/>
          <w:szCs w:val="24"/>
          <w:lang w:val="en-GB" w:eastAsia="en-GB"/>
        </w:rPr>
        <w:t>The adjacent entry-exit systems between which your company expresses demand for incremental capacity.</w:t>
      </w:r>
    </w:p>
    <w:p w14:paraId="71003254" w14:textId="77777777" w:rsidR="008F7F1E" w:rsidRPr="008F7F1E" w:rsidRDefault="008F7F1E" w:rsidP="008F7F1E">
      <w:pPr>
        <w:numPr>
          <w:ilvl w:val="0"/>
          <w:numId w:val="1"/>
        </w:numPr>
        <w:spacing w:before="120" w:after="120" w:line="276" w:lineRule="auto"/>
        <w:ind w:left="364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F7F1E">
        <w:rPr>
          <w:rFonts w:ascii="Arial" w:eastAsia="Times New Roman" w:hAnsi="Arial" w:cs="Arial"/>
          <w:sz w:val="24"/>
          <w:szCs w:val="24"/>
          <w:lang w:val="en-GB" w:eastAsia="en-GB"/>
        </w:rPr>
        <w:t>Your company´s capacity demand per gas year(s) between the adjacent entry-exit systems (one row = one amount of requested capacity).</w:t>
      </w:r>
    </w:p>
    <w:p w14:paraId="2F97C584" w14:textId="77777777" w:rsidR="008F7F1E" w:rsidRPr="008F7F1E" w:rsidRDefault="008F7F1E" w:rsidP="008F7F1E">
      <w:pPr>
        <w:numPr>
          <w:ilvl w:val="0"/>
          <w:numId w:val="1"/>
        </w:numPr>
        <w:spacing w:before="120" w:after="120" w:line="276" w:lineRule="auto"/>
        <w:ind w:left="364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F7F1E">
        <w:rPr>
          <w:rFonts w:ascii="Arial" w:eastAsia="Times New Roman" w:hAnsi="Arial" w:cs="Arial"/>
          <w:sz w:val="24"/>
          <w:szCs w:val="24"/>
          <w:lang w:val="en-GB" w:eastAsia="en-GB"/>
        </w:rPr>
        <w:t>Any demand indications which have been or will also be submitted to other transmission system operators, in case such indications are linked to your indication here.</w:t>
      </w:r>
    </w:p>
    <w:p w14:paraId="6C811C50" w14:textId="2D777F8E" w:rsidR="008F7F1E" w:rsidRPr="008F7F1E" w:rsidRDefault="008F7F1E" w:rsidP="008F7F1E">
      <w:pPr>
        <w:numPr>
          <w:ilvl w:val="0"/>
          <w:numId w:val="1"/>
        </w:numPr>
        <w:spacing w:before="120" w:after="120" w:line="276" w:lineRule="auto"/>
        <w:ind w:left="350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F7F1E">
        <w:rPr>
          <w:rFonts w:ascii="Arial" w:eastAsia="Times New Roman" w:hAnsi="Arial" w:cs="Arial"/>
          <w:sz w:val="24"/>
          <w:szCs w:val="24"/>
          <w:lang w:val="en-GB" w:eastAsia="en-GB"/>
        </w:rPr>
        <w:t>In detail any conditions with respect to your demand indications above, if applicable.</w:t>
      </w:r>
    </w:p>
    <w:p w14:paraId="30280E38" w14:textId="77777777" w:rsidR="008F7F1E" w:rsidRPr="008F7F1E" w:rsidRDefault="008F7F1E" w:rsidP="008F7F1E">
      <w:pPr>
        <w:widowControl w:val="0"/>
        <w:pBdr>
          <w:bottom w:val="single" w:sz="4" w:space="1" w:color="auto"/>
        </w:pBdr>
        <w:spacing w:before="240" w:after="120" w:line="276" w:lineRule="auto"/>
        <w:ind w:right="-23"/>
        <w:jc w:val="both"/>
        <w:rPr>
          <w:rFonts w:ascii="Arial" w:eastAsia="Times New Roman" w:hAnsi="Arial" w:cs="Arial"/>
          <w:i/>
          <w:sz w:val="26"/>
          <w:szCs w:val="26"/>
          <w:lang w:val="en-GB" w:eastAsia="en-GB"/>
        </w:rPr>
      </w:pPr>
      <w:r w:rsidRPr="008F7F1E">
        <w:rPr>
          <w:rFonts w:ascii="Arial" w:eastAsia="Times New Roman" w:hAnsi="Arial" w:cs="Arial"/>
          <w:b/>
          <w:iCs/>
          <w:sz w:val="26"/>
          <w:szCs w:val="26"/>
          <w:lang w:val="en-GB" w:eastAsia="en-GB"/>
        </w:rPr>
        <w:t xml:space="preserve">Elaboration of conditions </w:t>
      </w:r>
    </w:p>
    <w:p w14:paraId="0BB63637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sz w:val="18"/>
          <w:lang w:val="en-GB"/>
        </w:rPr>
      </w:pPr>
      <w:r w:rsidRPr="008F7F1E">
        <w:rPr>
          <w:rFonts w:ascii="Arial" w:eastAsia="Calibri" w:hAnsi="Arial" w:cs="Arial"/>
          <w:iCs/>
          <w:sz w:val="18"/>
          <w:lang w:val="en-GB"/>
        </w:rPr>
        <w:t xml:space="preserve"> </w:t>
      </w:r>
      <w:r w:rsidRPr="008F7F1E">
        <w:rPr>
          <w:rFonts w:ascii="Arial" w:eastAsia="Calibri" w:hAnsi="Arial" w:cs="Arial"/>
          <w:iCs/>
          <w:sz w:val="18"/>
          <w:lang w:val="en-GB"/>
        </w:rPr>
        <w:tab/>
      </w:r>
      <w:r w:rsidRPr="008F7F1E">
        <w:rPr>
          <w:rFonts w:ascii="Arial" w:eastAsia="Calibri" w:hAnsi="Arial" w:cs="Arial"/>
          <w:iCs/>
          <w:sz w:val="18"/>
          <w:lang w:val="en-GB"/>
        </w:rPr>
        <w:tab/>
      </w:r>
      <w:r w:rsidRPr="008F7F1E">
        <w:rPr>
          <w:rFonts w:ascii="Arial" w:eastAsia="Calibri" w:hAnsi="Arial" w:cs="Arial"/>
          <w:iCs/>
          <w:sz w:val="18"/>
          <w:lang w:val="en-GB"/>
        </w:rPr>
        <w:tab/>
      </w:r>
      <w:r w:rsidRPr="008F7F1E">
        <w:rPr>
          <w:rFonts w:ascii="Arial" w:eastAsia="Calibri" w:hAnsi="Arial" w:cs="Arial"/>
          <w:iCs/>
          <w:sz w:val="18"/>
          <w:lang w:val="en-GB"/>
        </w:rPr>
        <w:tab/>
      </w:r>
      <w:r w:rsidRPr="008F7F1E">
        <w:rPr>
          <w:rFonts w:ascii="Arial" w:eastAsia="Calibri" w:hAnsi="Arial" w:cs="Arial"/>
          <w:iCs/>
          <w:sz w:val="18"/>
          <w:lang w:val="en-GB"/>
        </w:rPr>
        <w:tab/>
      </w:r>
      <w:r w:rsidRPr="008F7F1E">
        <w:rPr>
          <w:rFonts w:ascii="Arial" w:eastAsia="Calibri" w:hAnsi="Arial" w:cs="Arial"/>
          <w:iCs/>
          <w:sz w:val="18"/>
          <w:lang w:val="en-GB"/>
        </w:rPr>
        <w:tab/>
      </w:r>
      <w:r w:rsidRPr="008F7F1E">
        <w:rPr>
          <w:rFonts w:ascii="Arial" w:eastAsia="Calibri" w:hAnsi="Arial" w:cs="Arial"/>
          <w:iCs/>
          <w:sz w:val="18"/>
          <w:lang w:val="en-GB"/>
        </w:rPr>
        <w:tab/>
      </w:r>
    </w:p>
    <w:p w14:paraId="684A9479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sz w:val="18"/>
          <w:lang w:val="en-GB"/>
        </w:rPr>
      </w:pPr>
    </w:p>
    <w:p w14:paraId="102EE484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sz w:val="28"/>
          <w:szCs w:val="28"/>
          <w:lang w:val="en-GB"/>
        </w:rPr>
      </w:pPr>
    </w:p>
    <w:p w14:paraId="72014769" w14:textId="77777777" w:rsidR="008F7F1E" w:rsidRPr="008F7F1E" w:rsidRDefault="008F7F1E" w:rsidP="008F7F1E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6"/>
          <w:szCs w:val="26"/>
          <w:u w:color="000000"/>
          <w:lang w:val="en-US"/>
        </w:rPr>
      </w:pPr>
      <w:r w:rsidRPr="008F7F1E">
        <w:rPr>
          <w:rFonts w:ascii="Arial" w:eastAsia="Calibri" w:hAnsi="Arial" w:cs="Arial"/>
          <w:b/>
          <w:bCs/>
          <w:sz w:val="26"/>
          <w:szCs w:val="26"/>
        </w:rPr>
        <w:br w:type="page"/>
      </w:r>
    </w:p>
    <w:p w14:paraId="361D6E79" w14:textId="77777777" w:rsidR="008F7F1E" w:rsidRPr="008F7F1E" w:rsidRDefault="008F7F1E" w:rsidP="008F7F1E">
      <w:pPr>
        <w:spacing w:before="240" w:after="120" w:line="276" w:lineRule="auto"/>
        <w:jc w:val="both"/>
        <w:rPr>
          <w:rFonts w:ascii="Arial" w:eastAsia="Calibri" w:hAnsi="Arial" w:cs="Arial"/>
          <w:b/>
          <w:bCs/>
          <w:color w:val="000000"/>
          <w:sz w:val="26"/>
          <w:szCs w:val="26"/>
          <w:u w:color="000000"/>
          <w:lang w:val="en-US"/>
        </w:rPr>
      </w:pPr>
    </w:p>
    <w:p w14:paraId="2223DE04" w14:textId="77777777" w:rsidR="008F7F1E" w:rsidRPr="008F7F1E" w:rsidRDefault="008F7F1E" w:rsidP="008F7F1E">
      <w:pPr>
        <w:spacing w:before="240" w:after="120" w:line="276" w:lineRule="auto"/>
        <w:jc w:val="both"/>
        <w:rPr>
          <w:rFonts w:ascii="Arial" w:eastAsia="Calibri" w:hAnsi="Arial" w:cs="Arial"/>
          <w:b/>
          <w:bCs/>
          <w:color w:val="000000"/>
          <w:sz w:val="26"/>
          <w:szCs w:val="26"/>
          <w:u w:color="000000"/>
          <w:lang w:val="en-US"/>
        </w:rPr>
      </w:pPr>
      <w:r w:rsidRPr="008F7F1E">
        <w:rPr>
          <w:rFonts w:ascii="Arial" w:eastAsia="Calibri" w:hAnsi="Arial" w:cs="Arial"/>
          <w:b/>
          <w:bCs/>
          <w:color w:val="000000"/>
          <w:sz w:val="26"/>
          <w:szCs w:val="26"/>
          <w:u w:color="000000"/>
          <w:lang w:val="en-US"/>
        </w:rPr>
        <w:t>Company details</w:t>
      </w:r>
    </w:p>
    <w:p w14:paraId="550912EC" w14:textId="77777777" w:rsidR="008F7F1E" w:rsidRPr="008F7F1E" w:rsidRDefault="008F7F1E" w:rsidP="008F7F1E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8F7F1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Please provide in the fields below contact information of your company as well as the representative(s) who can be contacted regarding the non-binding demand indication: </w:t>
      </w:r>
    </w:p>
    <w:p w14:paraId="5827CEE9" w14:textId="77777777" w:rsidR="008F7F1E" w:rsidRPr="008F7F1E" w:rsidRDefault="008F7F1E" w:rsidP="008F7F1E">
      <w:pPr>
        <w:widowControl w:val="0"/>
        <w:pBdr>
          <w:bottom w:val="single" w:sz="4" w:space="1" w:color="auto"/>
        </w:pBdr>
        <w:spacing w:before="240" w:after="120" w:line="276" w:lineRule="auto"/>
        <w:ind w:right="-28"/>
        <w:jc w:val="both"/>
        <w:rPr>
          <w:rFonts w:ascii="Arial" w:eastAsia="Times New Roman" w:hAnsi="Arial" w:cs="Arial"/>
          <w:b/>
          <w:sz w:val="26"/>
          <w:szCs w:val="26"/>
          <w:lang w:val="en-GB" w:eastAsia="en-GB"/>
        </w:rPr>
      </w:pPr>
      <w:r w:rsidRPr="008F7F1E">
        <w:rPr>
          <w:rFonts w:ascii="Arial" w:eastAsia="Times New Roman" w:hAnsi="Arial" w:cs="Arial"/>
          <w:b/>
          <w:iCs/>
          <w:sz w:val="26"/>
          <w:szCs w:val="26"/>
          <w:lang w:val="en-GB" w:eastAsia="en-GB"/>
        </w:rPr>
        <w:t>Company</w:t>
      </w:r>
    </w:p>
    <w:p w14:paraId="0A399F0F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Company name:</w:t>
      </w:r>
    </w:p>
    <w:p w14:paraId="5F97B0D4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 xml:space="preserve">Address: </w:t>
      </w:r>
    </w:p>
    <w:p w14:paraId="59679F90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ab/>
      </w: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ab/>
      </w: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ab/>
      </w: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ab/>
      </w: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ab/>
      </w: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ab/>
      </w:r>
    </w:p>
    <w:p w14:paraId="77613C63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ZIP, town, country:</w:t>
      </w:r>
    </w:p>
    <w:p w14:paraId="6856A370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VAT identification number:</w:t>
      </w:r>
    </w:p>
    <w:p w14:paraId="5EC8FB18" w14:textId="5C65420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EIC</w:t>
      </w:r>
      <w:bookmarkStart w:id="0" w:name="_GoBack"/>
      <w:bookmarkEnd w:id="0"/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:</w:t>
      </w:r>
    </w:p>
    <w:p w14:paraId="5F55A7C6" w14:textId="77777777" w:rsidR="008F7F1E" w:rsidRPr="008F7F1E" w:rsidRDefault="008F7F1E" w:rsidP="008F7F1E">
      <w:pPr>
        <w:spacing w:before="240" w:after="120" w:line="276" w:lineRule="auto"/>
        <w:jc w:val="both"/>
        <w:rPr>
          <w:rFonts w:ascii="Arial" w:eastAsia="Calibri" w:hAnsi="Arial" w:cs="Arial"/>
          <w:b/>
          <w:sz w:val="26"/>
          <w:szCs w:val="26"/>
          <w:lang w:val="en-GB"/>
        </w:rPr>
      </w:pPr>
      <w:r w:rsidRPr="008F7F1E">
        <w:rPr>
          <w:rFonts w:ascii="Arial" w:eastAsia="Calibri" w:hAnsi="Arial" w:cs="Arial"/>
          <w:b/>
          <w:iCs/>
          <w:sz w:val="26"/>
          <w:szCs w:val="26"/>
          <w:lang w:val="en-GB"/>
        </w:rPr>
        <w:t>Contact person</w:t>
      </w:r>
    </w:p>
    <w:p w14:paraId="741251E2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Name of the authorised contact person:</w:t>
      </w: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ab/>
      </w:r>
    </w:p>
    <w:p w14:paraId="7DDC4E13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Position:</w:t>
      </w:r>
    </w:p>
    <w:p w14:paraId="07AC1C3A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Email-address:</w:t>
      </w:r>
    </w:p>
    <w:p w14:paraId="70C39125" w14:textId="77777777" w:rsidR="008F7F1E" w:rsidRPr="008F7F1E" w:rsidRDefault="008F7F1E" w:rsidP="008F7F1E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jc w:val="both"/>
        <w:rPr>
          <w:rFonts w:ascii="Arial" w:eastAsia="Calibri" w:hAnsi="Arial" w:cs="Arial"/>
          <w:iCs/>
          <w:sz w:val="24"/>
          <w:szCs w:val="24"/>
          <w:lang w:val="en-GB"/>
        </w:rPr>
      </w:pPr>
      <w:r w:rsidRPr="008F7F1E">
        <w:rPr>
          <w:rFonts w:ascii="Arial" w:eastAsia="Calibri" w:hAnsi="Arial" w:cs="Arial"/>
          <w:iCs/>
          <w:sz w:val="24"/>
          <w:szCs w:val="24"/>
          <w:lang w:val="en-GB"/>
        </w:rPr>
        <w:t>Phone number:</w:t>
      </w:r>
    </w:p>
    <w:p w14:paraId="76476766" w14:textId="77777777" w:rsidR="008F7F1E" w:rsidRPr="008F7F1E" w:rsidRDefault="008F7F1E">
      <w:pPr>
        <w:rPr>
          <w:lang w:val="en-GB"/>
        </w:rPr>
      </w:pPr>
    </w:p>
    <w:sectPr w:rsidR="008F7F1E" w:rsidRPr="008F7F1E" w:rsidSect="0070441E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B2DB2" w14:textId="77777777" w:rsidR="008F7F1E" w:rsidRDefault="008F7F1E" w:rsidP="008F7F1E">
      <w:pPr>
        <w:spacing w:after="0" w:line="240" w:lineRule="auto"/>
      </w:pPr>
      <w:r>
        <w:separator/>
      </w:r>
    </w:p>
  </w:endnote>
  <w:endnote w:type="continuationSeparator" w:id="0">
    <w:p w14:paraId="10478191" w14:textId="77777777" w:rsidR="008F7F1E" w:rsidRDefault="008F7F1E" w:rsidP="008F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792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41B80" w14:textId="77777777" w:rsidR="007C5B53" w:rsidRDefault="008F7F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FB612" w14:textId="77777777" w:rsidR="007C5B53" w:rsidRDefault="008E7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E5B08" w14:textId="77777777" w:rsidR="008F7F1E" w:rsidRDefault="008F7F1E" w:rsidP="008F7F1E">
      <w:pPr>
        <w:spacing w:after="0" w:line="240" w:lineRule="auto"/>
      </w:pPr>
      <w:r>
        <w:separator/>
      </w:r>
    </w:p>
  </w:footnote>
  <w:footnote w:type="continuationSeparator" w:id="0">
    <w:p w14:paraId="3BBA16B3" w14:textId="77777777" w:rsidR="008F7F1E" w:rsidRDefault="008F7F1E" w:rsidP="008F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7C7F"/>
    <w:multiLevelType w:val="hybridMultilevel"/>
    <w:tmpl w:val="26B2CE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1E"/>
    <w:rsid w:val="008E74B2"/>
    <w:rsid w:val="008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C17A8"/>
  <w15:chartTrackingRefBased/>
  <w15:docId w15:val="{C16D26C0-BCEA-4F9D-AD97-20BC7DEE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7F1E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F7F1E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560</Characters>
  <Application>Microsoft Office Word</Application>
  <DocSecurity>4</DocSecurity>
  <Lines>4</Lines>
  <Paragraphs>3</Paragraphs>
  <ScaleCrop>false</ScaleCrop>
  <Company>AB AmberGrid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Kavalskienė</dc:creator>
  <cp:keywords/>
  <dc:description/>
  <cp:lastModifiedBy>Laima Kavalskienė</cp:lastModifiedBy>
  <cp:revision>2</cp:revision>
  <dcterms:created xsi:type="dcterms:W3CDTF">2021-07-05T09:13:00Z</dcterms:created>
  <dcterms:modified xsi:type="dcterms:W3CDTF">2021-07-05T09:13:00Z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64948-aeeb-436c-a291-ab13687dc8ce_Enabled">
    <vt:lpwstr>true</vt:lpwstr>
  </property>
  <property fmtid="{D5CDD505-2E9C-101B-9397-08002B2CF9AE}" pid="3" name="MSIP_Label_75464948-aeeb-436c-a291-ab13687dc8ce_SetDate">
    <vt:lpwstr>2021-07-05T08:42:00Z</vt:lpwstr>
  </property>
  <property fmtid="{D5CDD505-2E9C-101B-9397-08002B2CF9AE}" pid="4" name="MSIP_Label_75464948-aeeb-436c-a291-ab13687dc8ce_Method">
    <vt:lpwstr>Standard</vt:lpwstr>
  </property>
  <property fmtid="{D5CDD505-2E9C-101B-9397-08002B2CF9AE}" pid="5" name="MSIP_Label_75464948-aeeb-436c-a291-ab13687dc8ce_Name">
    <vt:lpwstr>Internal</vt:lpwstr>
  </property>
  <property fmtid="{D5CDD505-2E9C-101B-9397-08002B2CF9AE}" pid="6" name="MSIP_Label_75464948-aeeb-436c-a291-ab13687dc8ce_SiteId">
    <vt:lpwstr>e54289c6-b630-4215-acc5-57eec01212d6</vt:lpwstr>
  </property>
  <property fmtid="{D5CDD505-2E9C-101B-9397-08002B2CF9AE}" pid="7" name="MSIP_Label_75464948-aeeb-436c-a291-ab13687dc8ce_ActionId">
    <vt:lpwstr>2347d519-760e-43e8-8ca8-21139787b2ce</vt:lpwstr>
  </property>
  <property fmtid="{D5CDD505-2E9C-101B-9397-08002B2CF9AE}" pid="8" name="MSIP_Label_75464948-aeeb-436c-a291-ab13687dc8ce_ContentBits">
    <vt:lpwstr>0</vt:lpwstr>
  </property>
</Properties>
</file>