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EAEB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2"/>
      </w:tblGrid>
      <w:tr w:rsidR="006C4952" w:rsidRPr="00D74F30" w14:paraId="2CFB2B21" w14:textId="77777777" w:rsidTr="006C4952">
        <w:trPr>
          <w:trHeight w:val="31680"/>
          <w:jc w:val="center"/>
        </w:trPr>
        <w:tc>
          <w:tcPr>
            <w:tcW w:w="9972" w:type="dxa"/>
            <w:tcBorders>
              <w:top w:val="nil"/>
            </w:tcBorders>
            <w:shd w:val="clear" w:color="auto" w:fill="EAEBE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05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2"/>
            </w:tblGrid>
            <w:tr w:rsidR="006C4952" w:rsidRPr="00D74F30" w14:paraId="3ECBE010" w14:textId="77777777" w:rsidTr="005B608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17CBB96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="-993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6025D512" w14:textId="77777777" w:rsidTr="0087299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</w:tcPr>
                            <w:p w14:paraId="4316E396" w14:textId="77777777" w:rsidR="006C4952" w:rsidRPr="00D74F30" w:rsidRDefault="006C4952" w:rsidP="006C4952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266BFCBE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7D94569E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6C4952" w:rsidRPr="00D74F30" w14:paraId="54184B27" w14:textId="77777777" w:rsidTr="005B608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9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5"/>
                  </w:tblGrid>
                  <w:tr w:rsidR="006C4952" w:rsidRPr="00D74F30" w14:paraId="27655ECE" w14:textId="77777777" w:rsidTr="00C627AC">
                    <w:tc>
                      <w:tcPr>
                        <w:tcW w:w="5000" w:type="pct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6C4952" w:rsidRPr="00D74F30" w14:paraId="246E678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E5F989C" w14:textId="77777777" w:rsidR="006C4952" w:rsidRPr="00D74F30" w:rsidRDefault="006C4952" w:rsidP="00C627AC">
                              <w:pPr>
                                <w:spacing w:after="0" w:line="240" w:lineRule="auto"/>
                                <w:ind w:left="-569" w:firstLine="56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D74F3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val="lt-LT"/>
                                </w:rPr>
                                <w:drawing>
                                  <wp:inline distT="0" distB="0" distL="0" distR="0" wp14:anchorId="570E927F" wp14:editId="6516F304">
                                    <wp:extent cx="5372100" cy="1628775"/>
                                    <wp:effectExtent l="0" t="0" r="0" b="0"/>
                                    <wp:docPr id="7" name="Picture 7" descr="https://gallery.mailchimp.com/176883bf656b812acbb780c49/images/07518693-2a08-48de-a14b-c68b61e147d4.png">
                                      <a:hlinkClick xmlns:a="http://schemas.openxmlformats.org/drawingml/2006/main" r:id="rId8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176883bf656b812acbb780c49/images/07518693-2a08-48de-a14b-c68b61e147d4.png">
                                              <a:hlinkClick r:id="rId8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A855046" w14:textId="77777777" w:rsidR="006C4952" w:rsidRPr="00D74F30" w:rsidRDefault="006C4952" w:rsidP="00C627AC">
                        <w:pPr>
                          <w:spacing w:after="0" w:line="240" w:lineRule="auto"/>
                          <w:ind w:left="-569" w:firstLine="5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76F2C259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6DB49CC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0ED5B376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82"/>
                              </w:tblGrid>
                              <w:tr w:rsidR="006C4952" w:rsidRPr="00D74F30" w14:paraId="3905C109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A16D567" w14:textId="7566AD68" w:rsidR="006C4952" w:rsidRPr="00D74F30" w:rsidRDefault="009E392D" w:rsidP="006C4952">
                                    <w:pPr>
                                      <w:spacing w:after="0" w:line="315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rFonts w:ascii="Open Sans" w:eastAsia="Times New Roman" w:hAnsi="Open Sans" w:cs="Open Sans"/>
                                        <w:color w:val="A3C961"/>
                                        <w:sz w:val="33"/>
                                        <w:szCs w:val="33"/>
                                        <w:lang w:val="lt-LT"/>
                                      </w:rPr>
                                      <w:t xml:space="preserve">Ketvirtasis </w:t>
                                    </w:r>
                                    <w:r w:rsidR="006C4952" w:rsidRPr="00D74F30">
                                      <w:rPr>
                                        <w:rFonts w:ascii="Open Sans" w:eastAsia="Times New Roman" w:hAnsi="Open Sans" w:cs="Open Sans"/>
                                        <w:color w:val="A3C961"/>
                                        <w:sz w:val="33"/>
                                        <w:szCs w:val="33"/>
                                        <w:lang w:val="lt-LT"/>
                                      </w:rPr>
                                      <w:t>naujienlaiškis</w:t>
                                    </w:r>
                                    <w:r w:rsidR="006C4952" w:rsidRPr="00D74F30">
                                      <w:rPr>
                                        <w:rFonts w:ascii="Open Sans" w:eastAsia="Times New Roman" w:hAnsi="Open Sans" w:cs="Open Sans"/>
                                        <w:color w:val="222222"/>
                                        <w:sz w:val="21"/>
                                        <w:szCs w:val="21"/>
                                        <w:lang w:val="lt-LT"/>
                                      </w:rPr>
                                      <w:br/>
                                    </w:r>
                                    <w:r w:rsidR="006C4952" w:rsidRPr="00D74F30">
                                      <w:rPr>
                                        <w:rFonts w:ascii="Open Sans" w:eastAsia="Times New Roman" w:hAnsi="Open Sans" w:cs="Open Sans"/>
                                        <w:color w:val="696969"/>
                                        <w:sz w:val="27"/>
                                        <w:szCs w:val="27"/>
                                        <w:lang w:val="lt-LT"/>
                                      </w:rPr>
                                      <w:t>20</w:t>
                                    </w:r>
                                    <w:r w:rsidR="00790AC4" w:rsidRPr="00D74F30">
                                      <w:rPr>
                                        <w:rFonts w:ascii="Open Sans" w:eastAsia="Times New Roman" w:hAnsi="Open Sans" w:cs="Open Sans"/>
                                        <w:color w:val="696969"/>
                                        <w:sz w:val="27"/>
                                        <w:szCs w:val="27"/>
                                        <w:lang w:val="lt-LT"/>
                                      </w:rPr>
                                      <w:t>2</w:t>
                                    </w:r>
                                    <w:r w:rsidR="00467DC4" w:rsidRPr="00D74F30">
                                      <w:rPr>
                                        <w:rFonts w:ascii="Open Sans" w:eastAsia="Times New Roman" w:hAnsi="Open Sans" w:cs="Open Sans"/>
                                        <w:color w:val="696969"/>
                                        <w:sz w:val="27"/>
                                        <w:szCs w:val="27"/>
                                        <w:lang w:val="lt-LT"/>
                                      </w:rPr>
                                      <w:t>1 m. birželis</w:t>
                                    </w:r>
                                    <w:r w:rsidR="006C4952" w:rsidRPr="00D74F30">
                                      <w:rPr>
                                        <w:rFonts w:ascii="Open Sans" w:eastAsia="Times New Roman" w:hAnsi="Open Sans" w:cs="Open Sans"/>
                                        <w:color w:val="696969"/>
                                        <w:sz w:val="27"/>
                                        <w:szCs w:val="27"/>
                                        <w:lang w:val="lt-L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CCB5056" w14:textId="77777777" w:rsidR="006C4952" w:rsidRPr="00D74F30" w:rsidRDefault="006C4952" w:rsidP="006C49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37525C88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44EE7FAA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32EB17D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1C949B30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0CA477CD" w14:textId="77777777" w:rsidR="006C4952" w:rsidRPr="00D74F30" w:rsidRDefault="006C4952" w:rsidP="006C49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D74F3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lt-LT"/>
                                </w:rPr>
                                <w:drawing>
                                  <wp:inline distT="0" distB="0" distL="0" distR="0" wp14:anchorId="3C75DB56" wp14:editId="106C47E3">
                                    <wp:extent cx="5715000" cy="3209925"/>
                                    <wp:effectExtent l="0" t="0" r="0" b="9525"/>
                                    <wp:docPr id="6" name="Picture 6" descr="https://gallery.mailchimp.com/176883bf656b812acbb780c49/images/09b2de20-0775-4ac4-9a58-faaaef26385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176883bf656b812acbb780c49/images/09b2de20-0775-4ac4-9a58-faaaef26385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320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C123E42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7FFE2682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6C4952" w:rsidRPr="00D74F30" w14:paraId="6F01818A" w14:textId="77777777" w:rsidTr="005B608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single" w:sz="12" w:space="0" w:color="EAEAEA"/>
                  </w:tcBorders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0BAB5D5B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617F7D65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82"/>
                              </w:tblGrid>
                              <w:tr w:rsidR="006C4952" w:rsidRPr="00D74F30" w14:paraId="2287AD78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307EFCF" w14:textId="02726235" w:rsidR="006C4952" w:rsidRPr="00D74F30" w:rsidRDefault="006C4952" w:rsidP="007247E3">
                                    <w:pPr>
                                      <w:spacing w:after="0" w:line="40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REGATRACE (Renewable GAs TRAde Centre in Europe) 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projekt</w:t>
                                    </w:r>
                                    <w:r w:rsidR="00D84ECF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u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 siekia</w:t>
                                    </w:r>
                                    <w:r w:rsidR="00D84ECF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ma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 sukurti veiksmingą sistemą, pagrįstą biometano ir atsinaujinančių dujų kilmės garantijų išleidimu </w:t>
                                    </w:r>
                                    <w:r w:rsidR="00D84ECF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bei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 jų prekyba. </w:t>
                                    </w:r>
                                    <w:r w:rsidR="009E3658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Šios veiklos tikslas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 prisidė</w:t>
                                    </w:r>
                                    <w:r w:rsidR="009E3658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ti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 prie </w:t>
                                    </w:r>
                                    <w:r w:rsidR="009E3658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atsinaujinančios energetikos plėtros, būtent, prie bendros 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Europos biometano rinkos </w:t>
                                    </w:r>
                                    <w:r w:rsidR="009E3658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>plėtros vystymo sėkmės</w:t>
                                    </w:r>
                                    <w:r w:rsidR="007247E3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3"/>
                                        <w:szCs w:val="23"/>
                                        <w:lang w:val="lt-LT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4A16A331" w14:textId="77777777" w:rsidR="006C4952" w:rsidRPr="00D74F30" w:rsidRDefault="006C4952" w:rsidP="006C49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72FA696D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48292F1F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6C4952" w:rsidRPr="00D74F30" w14:paraId="2D3EF650" w14:textId="77777777" w:rsidTr="005B608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2AE6309C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075F61B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1D2C73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82"/>
                              </w:tblGrid>
                              <w:tr w:rsidR="006C4952" w:rsidRPr="00D74F30" w14:paraId="778A0B86" w14:textId="77777777">
                                <w:tc>
                                  <w:tcPr>
                                    <w:tcW w:w="0" w:type="auto"/>
                                    <w:shd w:val="clear" w:color="auto" w:fill="1D2C73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7D37DB3" w14:textId="77777777" w:rsidR="006C4952" w:rsidRPr="00D74F30" w:rsidRDefault="007247E3" w:rsidP="006C4952">
                                    <w:pPr>
                                      <w:spacing w:after="0" w:line="40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7"/>
                                        <w:szCs w:val="27"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rFonts w:ascii="Open Sans" w:eastAsia="Times New Roman" w:hAnsi="Open Sans" w:cs="Open Sans"/>
                                        <w:color w:val="FFFFFF"/>
                                        <w:sz w:val="30"/>
                                        <w:szCs w:val="30"/>
                                        <w:lang w:val="lt-LT"/>
                                      </w:rPr>
                                      <w:lastRenderedPageBreak/>
                                      <w:t>Naujienos iš biometano pasaulio</w:t>
                                    </w:r>
                                    <w:r w:rsidR="006C4952" w:rsidRPr="00D74F30">
                                      <w:rPr>
                                        <w:rFonts w:ascii="Open Sans" w:eastAsia="Times New Roman" w:hAnsi="Open Sans" w:cs="Open Sans"/>
                                        <w:color w:val="FFFFFF"/>
                                        <w:sz w:val="30"/>
                                        <w:szCs w:val="30"/>
                                        <w:lang w:val="lt-L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180" w:rightFromText="180" w:vertAnchor="page" w:horzAnchor="margin" w:tblpY="1201"/>
                                <w:tblOverlap w:val="never"/>
                                <w:tblW w:w="1006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65"/>
                              </w:tblGrid>
                              <w:tr w:rsidR="0077721D" w:rsidRPr="00D74F30" w14:paraId="7413F99C" w14:textId="77777777" w:rsidTr="00394F3B">
                                <w:trPr>
                                  <w:trHeight w:val="7947"/>
                                </w:trPr>
                                <w:tc>
                                  <w:tcPr>
                                    <w:tcW w:w="10065" w:type="dxa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FEB4585" w14:textId="77777777" w:rsidR="00467DC4" w:rsidRPr="00D74F30" w:rsidRDefault="00467DC4" w:rsidP="00467DC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>Biodujų indėlio mažinant metano emisiją pripažinimas</w:t>
                                    </w:r>
                                  </w:p>
                                  <w:p w14:paraId="1FAEECB5" w14:textId="54D936E9" w:rsidR="00467DC4" w:rsidRPr="00D74F30" w:rsidRDefault="00467DC4" w:rsidP="00467DC4">
                                    <w:pPr>
                                      <w:jc w:val="both"/>
                                      <w:rPr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lang w:val="lt-LT"/>
                                      </w:rPr>
                                      <w:t>Įgyvendindama Žaliąjį kursą (Green Deal), 2020 m. spalio mėn. Europos Komisija pristatė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 xml:space="preserve"> Europos m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etano strategiją. Metanas yra antra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 xml:space="preserve">po anglies 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>dvideginio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 xml:space="preserve"> 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pagal 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 xml:space="preserve">emisijų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apimtis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medžiaga,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skatinanti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klimato atšilimą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.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 xml:space="preserve">Norint pasiekti ES nustatytus tikslus klimato srityje 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iki 2030 m.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ir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iki 2050 m., 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 xml:space="preserve">bus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taikomos priemonės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>šiltnamio efektą sukeliančių dujų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išmetam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am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kiekiu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i sumažinti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>. Metano strategijoje siūlomos metano emisij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>ų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energetikos, žemės ūkio ir atliekų tvarkymo sektoriuose mažinimo priemonės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, taip pat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>didelis dėmesys skiriamas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bioduj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>oms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</w:t>
                                    </w:r>
                                    <w:r w:rsidR="007451F3" w:rsidRPr="00D74F30">
                                      <w:rPr>
                                        <w:lang w:val="lt-LT"/>
                                      </w:rPr>
                                      <w:t xml:space="preserve">ir 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>biometan</w:t>
                                    </w:r>
                                    <w:r w:rsidR="00D84ECF" w:rsidRPr="00D74F30">
                                      <w:rPr>
                                        <w:lang w:val="lt-LT"/>
                                      </w:rPr>
                                      <w:t xml:space="preserve">ui, mažinant šiltnamio efektą sukeliančių dujų emisijas minėtuose 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>sektoriuose.</w:t>
                                    </w:r>
                                  </w:p>
                                  <w:p w14:paraId="7BB48D9E" w14:textId="0516B3B7" w:rsidR="00467DC4" w:rsidRPr="00D74F30" w:rsidRDefault="00AF2D91" w:rsidP="00467DC4">
                                    <w:pPr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  <w:hyperlink r:id="rId11" w:tgtFrame="https://www.regatrace.eu/eu-methane-strategy-recognising-the-contribution-of-biogas-to-mitigate-methane-emissions/" w:history="1">
                                      <w:r w:rsidR="00467DC4" w:rsidRPr="00D74F30"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sz w:val="20"/>
                                          <w:szCs w:val="20"/>
                                          <w:lang w:val="lt-LT"/>
                                        </w:rPr>
                                        <w:t>Daugiau skaityti čia</w:t>
                                      </w:r>
                                    </w:hyperlink>
                                  </w:p>
                                  <w:p w14:paraId="3BD01A58" w14:textId="77777777" w:rsidR="0016092B" w:rsidRPr="00D74F30" w:rsidRDefault="0016092B" w:rsidP="00467DC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</w:pPr>
                                  </w:p>
                                  <w:p w14:paraId="08C1368A" w14:textId="75FD4BDB" w:rsidR="00467DC4" w:rsidRPr="00D74F30" w:rsidRDefault="00467DC4" w:rsidP="00467DC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 xml:space="preserve">Atsinaujinančių ir mažai anglies </w:t>
                                    </w:r>
                                    <w:r w:rsidR="005F023C"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>dvideginio</w:t>
                                    </w:r>
                                    <w:r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 xml:space="preserve"> į aplinką išskiriančių dujų sertifikavimo sistemos ateitis </w:t>
                                    </w:r>
                                    <w:r w:rsidR="004F13EF"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 xml:space="preserve">aptarta </w:t>
                                    </w:r>
                                    <w:r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>Madrido forume</w:t>
                                    </w:r>
                                    <w:r w:rsidR="004F13EF" w:rsidRPr="00D74F30">
                                      <w:rPr>
                                        <w:b/>
                                        <w:bCs/>
                                        <w:lang w:val="lt-LT"/>
                                      </w:rPr>
                                      <w:t>, vykusiame balandžio mėn.</w:t>
                                    </w:r>
                                  </w:p>
                                  <w:p w14:paraId="3C4C920A" w14:textId="3A2FE8F7" w:rsidR="00467DC4" w:rsidRPr="00D74F30" w:rsidRDefault="00467DC4" w:rsidP="00467DC4">
                                    <w:pPr>
                                      <w:jc w:val="both"/>
                                      <w:rPr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Balandžio mėn. Europos Komisija pakvietė </w:t>
                                    </w:r>
                                    <w:r w:rsidR="002A70F6" w:rsidRPr="00D74F30">
                                      <w:rPr>
                                        <w:lang w:val="lt-LT"/>
                                      </w:rPr>
                                      <w:t>pagrindinius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dujų sektoriaus </w:t>
                                    </w:r>
                                    <w:r w:rsidR="004F13EF" w:rsidRPr="00D74F30">
                                      <w:rPr>
                                        <w:lang w:val="lt-LT"/>
                                      </w:rPr>
                                      <w:t>rinkos dalyvius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</w:t>
                                    </w:r>
                                    <w:r w:rsidR="004F13EF" w:rsidRPr="00D74F30">
                                      <w:rPr>
                                        <w:lang w:val="lt-LT"/>
                                      </w:rPr>
                                      <w:t xml:space="preserve">diskutuoti dėl 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išmetamo anglies </w:t>
                                    </w:r>
                                    <w:r w:rsidR="005F023C" w:rsidRPr="00D74F30">
                                      <w:rPr>
                                        <w:lang w:val="lt-LT"/>
                                      </w:rPr>
                                      <w:t>dvideginio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kiekio mažinim</w:t>
                                    </w:r>
                                    <w:r w:rsidR="004F13EF" w:rsidRPr="00D74F30">
                                      <w:rPr>
                                        <w:lang w:val="lt-LT"/>
                                      </w:rPr>
                                      <w:t>o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galimyb</w:t>
                                    </w:r>
                                    <w:r w:rsidR="004F13EF" w:rsidRPr="00D74F30">
                                      <w:rPr>
                                        <w:lang w:val="lt-LT"/>
                                      </w:rPr>
                                      <w:t>ių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ir iššūki</w:t>
                                    </w:r>
                                    <w:r w:rsidR="004F13EF" w:rsidRPr="00D74F30">
                                      <w:rPr>
                                        <w:lang w:val="lt-LT"/>
                                      </w:rPr>
                                      <w:t>ų</w:t>
                                    </w:r>
                                    <w:r w:rsidR="002A70F6" w:rsidRPr="00D74F30">
                                      <w:rPr>
                                        <w:lang w:val="lt-LT"/>
                                      </w:rPr>
                                      <w:t xml:space="preserve"> ES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, </w:t>
                                    </w:r>
                                    <w:r w:rsidR="004F13EF" w:rsidRPr="00D74F30">
                                      <w:rPr>
                                        <w:lang w:val="lt-LT"/>
                                      </w:rPr>
                                      <w:t>taip pat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atsinaujinančių ir mažai anglies </w:t>
                                    </w:r>
                                    <w:r w:rsidR="005F023C" w:rsidRPr="00D74F30">
                                      <w:rPr>
                                        <w:lang w:val="lt-LT"/>
                                      </w:rPr>
                                      <w:t>dvideginio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 xml:space="preserve"> į aplinką išskiriančių dujų sertifikavimo sistemos ateit</w:t>
                                    </w:r>
                                    <w:r w:rsidR="002A70F6" w:rsidRPr="00D74F30">
                                      <w:rPr>
                                        <w:lang w:val="lt-LT"/>
                                      </w:rPr>
                                      <w:t>ies</w:t>
                                    </w:r>
                                    <w:r w:rsidRPr="00D74F30">
                                      <w:rPr>
                                        <w:lang w:val="lt-LT"/>
                                      </w:rPr>
                                      <w:t>.</w:t>
                                    </w:r>
                                  </w:p>
                                  <w:bookmarkStart w:id="0" w:name="_Hlk75768552"/>
                                  <w:p w14:paraId="5C8580DF" w14:textId="375D9C8B" w:rsidR="00467DC4" w:rsidRPr="00D74F30" w:rsidRDefault="004F13EF" w:rsidP="00467DC4">
                                    <w:pPr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  <w:fldChar w:fldCharType="begin"/>
                                    </w:r>
                                    <w:r w:rsidRPr="00D74F30"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  <w:instrText xml:space="preserve"> HYPERLINK "https://www.regatrace.eu/the-future-of-certification-system-for-renewable-and-low-carbon-gases-at-the-april-madrid-forum/" </w:instrText>
                                    </w:r>
                                    <w:r w:rsidRPr="00D74F30"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  <w:fldChar w:fldCharType="separate"/>
                                    </w:r>
                                    <w:r w:rsidR="00467DC4" w:rsidRPr="00D74F30"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  <w:t>Daugiau skaityti čia</w:t>
                                    </w:r>
                                    <w:r w:rsidRPr="00D74F30"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  <w:fldChar w:fldCharType="end"/>
                                    </w:r>
                                  </w:p>
                                  <w:p w14:paraId="1D4B5E03" w14:textId="1F59B0E3" w:rsidR="00394F3B" w:rsidRPr="00D74F30" w:rsidRDefault="00394F3B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4EE3AE62" w14:textId="0F19BCC0" w:rsidR="00394F3B" w:rsidRPr="00D74F30" w:rsidRDefault="00394F3B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696ABB2F" w14:textId="5C346A90" w:rsidR="00394F3B" w:rsidRPr="00D74F30" w:rsidRDefault="00394F3B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61E8EDC1" w14:textId="15F35DE0" w:rsidR="00394F3B" w:rsidRPr="00D74F30" w:rsidRDefault="00394F3B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346523BB" w14:textId="43275DD7" w:rsidR="00394F3B" w:rsidRPr="00D74F30" w:rsidRDefault="00394F3B" w:rsidP="00467DC4">
                                    <w:pPr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5847E416" w14:textId="1275CB11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4BFC0F49" w14:textId="44DE39E0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1C5F2A1B" w14:textId="09E22F71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4542C94F" w14:textId="2743F4C5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7511EC53" w14:textId="691DCDEB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3771A4E3" w14:textId="2800A6D7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hAnsi="Helvetica" w:cs="Helvetica"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p w14:paraId="3C0D5E26" w14:textId="77777777" w:rsidR="005F023C" w:rsidRPr="00D74F30" w:rsidRDefault="005F023C" w:rsidP="00467DC4">
                                    <w:pPr>
                                      <w:rPr>
                                        <w:rStyle w:val="Hyperlink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  <w:lang w:val="lt-LT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180" w:rightFromText="180" w:vertAnchor="text" w:horzAnchor="margin" w:tblpY="487"/>
                                      <w:tblOverlap w:val="never"/>
                                      <w:tblW w:w="5000" w:type="pct"/>
                                      <w:shd w:val="clear" w:color="auto" w:fill="1D2C73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25"/>
                                    </w:tblGrid>
                                    <w:tr w:rsidR="0077721D" w:rsidRPr="00D74F30" w14:paraId="05A88E8F" w14:textId="77777777" w:rsidTr="00230DB3">
                                      <w:tc>
                                        <w:tcPr>
                                          <w:tcW w:w="0" w:type="auto"/>
                                          <w:shd w:val="clear" w:color="auto" w:fill="1D2C73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bookmarkEnd w:id="0"/>
                                        <w:p w14:paraId="1757280F" w14:textId="77777777" w:rsidR="0077721D" w:rsidRPr="00D74F30" w:rsidRDefault="0077721D" w:rsidP="0077721D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rFonts w:ascii="Open Sans" w:eastAsia="Times New Roman" w:hAnsi="Open Sans" w:cs="Open Sans"/>
                                              <w:color w:val="F2F2F2"/>
                                              <w:sz w:val="30"/>
                                              <w:szCs w:val="30"/>
                                              <w:lang w:val="lt-LT"/>
                                            </w:rPr>
                                            <w:lastRenderedPageBreak/>
                                            <w:t>Naujienos apie projektą </w:t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180" w:rightFromText="180" w:vertAnchor="text" w:horzAnchor="margin" w:tblpY="1653"/>
                                      <w:tblOverlap w:val="never"/>
                                      <w:tblW w:w="9430" w:type="dxa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30"/>
                                    </w:tblGrid>
                                    <w:tr w:rsidR="0077721D" w:rsidRPr="00D74F30" w14:paraId="5DC1694F" w14:textId="77777777" w:rsidTr="00230DB3">
                                      <w:trPr>
                                        <w:trHeight w:val="229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E71C5E3" w14:textId="77777777" w:rsidR="0077721D" w:rsidRPr="00D74F30" w:rsidRDefault="0077721D" w:rsidP="007772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lt-L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7721D" w:rsidRPr="00D74F30" w14:paraId="22C8D91C" w14:textId="77777777" w:rsidTr="00230DB3">
                                      <w:trPr>
                                        <w:trHeight w:val="2376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14:paraId="6C7BD290" w14:textId="77777777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AEBIG (Ispanijos biodujų asociacija) – REGATRACE: Ispanijos biometano darbo grupė</w:t>
                                          </w:r>
                                        </w:p>
                                        <w:p w14:paraId="5E09DE5A" w14:textId="7ADAD2D1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2021 m. kovo mėn. 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 xml:space="preserve">AEBIG surengė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pirmąjį REGATRACE seminarą „Biometano / atsinaujinančių dujų vizija: Ispanija“, 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kartu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su REGATRACE projektu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. Buvo suorganizuotos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3 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nuotolinės sesijos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. Seminare dalyvavo beveik 20 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svarbiausių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Ispanijos biometano sektoriaus 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rinkos dalyvių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>.</w:t>
                                          </w:r>
                                        </w:p>
                                        <w:p w14:paraId="01766DC4" w14:textId="398F6BB3" w:rsidR="00394F3B" w:rsidRPr="00D74F30" w:rsidRDefault="00AF2D91" w:rsidP="0016092B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FF"/>
                                              <w:sz w:val="20"/>
                                              <w:szCs w:val="20"/>
                                              <w:u w:val="single"/>
                                              <w:lang w:val="lt-LT"/>
                                            </w:rPr>
                                          </w:pPr>
                                          <w:hyperlink r:id="rId12" w:history="1">
                                            <w:r w:rsidR="00941B03" w:rsidRPr="00D74F30"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lt-LT"/>
                                              </w:rPr>
                                              <w:t>Daugiau skaityti čia</w:t>
                                            </w:r>
                                          </w:hyperlink>
                                        </w:p>
                                        <w:p w14:paraId="4D8673EB" w14:textId="01C941B3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2021 m. kovo 11 d. surengtas seminaras apie </w:t>
                                          </w:r>
                                          <w:r w:rsidR="002A70F6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tai, su kokiais </w:t>
                                          </w: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iššūki</w:t>
                                          </w:r>
                                          <w:r w:rsidR="002A70F6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ais susiduria kilmės garantijų registrai</w:t>
                                          </w: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, </w:t>
                                          </w:r>
                                          <w:r w:rsidR="002A70F6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kai vyksta </w:t>
                                          </w: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energijos konversija </w:t>
                                          </w:r>
                                        </w:p>
                                        <w:p w14:paraId="673DEDFC" w14:textId="54BEEE75" w:rsidR="002A70F6" w:rsidRPr="00D74F30" w:rsidRDefault="00941B03" w:rsidP="002A70F6">
                                          <w:pPr>
                                            <w:jc w:val="both"/>
                                            <w:rPr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>Kovo 11 d. buvo surengtas darbinis seminaras „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Sertifikatai ir iššūkiai, esant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energijos šaltinių konversija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i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“. Jis buvo skirtas sertifikatus išduodančioms įstaigoms ir kilmės garantijų (KG) registrų tvarkytojams.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>eminare aptart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i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energijos šaltinių konversij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os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 xml:space="preserve"> procesai su rinkos dalyviais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,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 xml:space="preserve">kurie </w:t>
                                          </w:r>
                                          <w:r w:rsidR="002A70F6" w:rsidRPr="00D74F30">
                                            <w:rPr>
                                              <w:lang w:val="lt-LT"/>
                                            </w:rPr>
                                            <w:t>užsiima planavimu ir techniniu KG valdymu, esant konversijai</w:t>
                                          </w:r>
                                          <w:bookmarkStart w:id="1" w:name="_Hlk75768666"/>
                                          <w:r w:rsidR="00FF76FB" w:rsidRPr="00D74F30">
                                            <w:rPr>
                                              <w:lang w:val="lt-LT"/>
                                            </w:rPr>
                                            <w:t>.</w:t>
                                          </w:r>
                                        </w:p>
                                        <w:p w14:paraId="3BCED173" w14:textId="77777777" w:rsidR="005F023C" w:rsidRPr="00D74F30" w:rsidRDefault="005F023C" w:rsidP="002A70F6">
                                          <w:pPr>
                                            <w:jc w:val="both"/>
                                            <w:rPr>
                                              <w:lang w:val="lt-LT"/>
                                            </w:rPr>
                                          </w:pPr>
                                        </w:p>
                                        <w:p w14:paraId="1125EFF5" w14:textId="26A3714A" w:rsidR="00941B03" w:rsidRPr="00D74F30" w:rsidRDefault="00AF2D91" w:rsidP="002A70F6">
                                          <w:pPr>
                                            <w:jc w:val="both"/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</w:pPr>
                                          <w:hyperlink r:id="rId13" w:history="1">
                                            <w:r w:rsidR="00941B03" w:rsidRPr="00D74F30"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lt-LT"/>
                                              </w:rPr>
                                              <w:t>Daugiau skaityti čia</w:t>
                                            </w:r>
                                          </w:hyperlink>
                                        </w:p>
                                        <w:bookmarkEnd w:id="1"/>
                                        <w:p w14:paraId="1C7A58CE" w14:textId="4E2381AD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Paskelbtas biometano / atsinaujinančių dujų KG sistemos </w:t>
                                          </w:r>
                                          <w:r w:rsidR="007D6FE5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bei</w:t>
                                          </w: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 elektros sistemos techninis ir veikimo palyginimas</w:t>
                                          </w:r>
                                        </w:p>
                                        <w:p w14:paraId="4A0460B3" w14:textId="52AD7650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>Naujausioje REGATRACE ataskaitoje pateikiamos įžvalgos apie Europos atsinaujinančių dujų ir elektros sertifikatų</w:t>
                                          </w:r>
                                          <w:r w:rsidR="005F023C" w:rsidRPr="00D74F30">
                                            <w:rPr>
                                              <w:lang w:val="lt-LT"/>
                                            </w:rPr>
                                            <w:t xml:space="preserve"> tarpvalstybines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perdavimo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schemas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ir jų palyginima</w:t>
                                          </w:r>
                                          <w:r w:rsidR="005F023C" w:rsidRPr="00D74F30">
                                            <w:rPr>
                                              <w:lang w:val="lt-LT"/>
                                            </w:rPr>
                                            <w:t>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. Kadangi skirtingų sistemų bendradarbiavimas prasideda nuo jų supratimo, Europos teisės aktų vertinimas leidžia nustatyti kuriuos energijos šaltinius ir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 xml:space="preserve">kurias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sertifikatų rūšis apima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palyginamos schemos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.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 xml:space="preserve">Užduoties koordinatorius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ERGaR,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 xml:space="preserve">pagal daugiau nei 100 kriterijų aprašė ir palygino kilmės garantijas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i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šduodančių įstaigų asociacijos (AIB) Europos energijos sertifikatų sistemos (EECS) dujų ir elektros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schemą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, „CertifHy“ vandenilio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schemą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ir „ERGaR“ CoO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schemą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. „ERGaR RED MB“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schema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buvo pristatyta, bet neįtraukta į visų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schemų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palyginimą, nes </w:t>
                                          </w:r>
                                          <w:r w:rsidR="00832BEB" w:rsidRPr="00D74F30">
                                            <w:rPr>
                                              <w:lang w:val="lt-LT"/>
                                            </w:rPr>
                                            <w:t>šios schemos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taisyklės dar nėra paskelbtos viešai.</w:t>
                                          </w:r>
                                        </w:p>
                                        <w:p w14:paraId="5286484E" w14:textId="59AB9BFC" w:rsidR="00941B03" w:rsidRPr="00D74F30" w:rsidRDefault="007D6FE5" w:rsidP="00941B03">
                                          <w:pPr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  <w:fldChar w:fldCharType="begin"/>
                                          </w:r>
                                          <w:r w:rsidRPr="00D74F30"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  <w:instrText xml:space="preserve"> HYPERLINK "https://www.regatrace.eu/technical-and-operational-comparison-of-the-biomethane-renewable-gas-goo-system-and-the-electricity-system-published/" </w:instrText>
                                          </w:r>
                                          <w:r w:rsidRPr="00D74F30"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  <w:fldChar w:fldCharType="separate"/>
                                          </w:r>
                                          <w:r w:rsidR="00941B03" w:rsidRPr="00D74F30"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  <w:t>Daugiau skaityti čia</w:t>
                                          </w:r>
                                        </w:p>
                                        <w:p w14:paraId="3F802977" w14:textId="7891452C" w:rsidR="00941B03" w:rsidRPr="00D74F30" w:rsidRDefault="007D6FE5" w:rsidP="00941B03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  <w:fldChar w:fldCharType="end"/>
                                          </w: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Pa</w:t>
                                          </w:r>
                                          <w:r w:rsidR="0053105A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rengta demonstracinė</w:t>
                                          </w:r>
                                          <w:r w:rsidR="00941B03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 IT </w:t>
                                          </w:r>
                                          <w:r w:rsidR="0053105A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>kilmės garantijų administravimo sistema</w:t>
                                          </w:r>
                                          <w:r w:rsidR="00510029"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1572F870" w14:textId="443CFE58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Įgyvendinant </w:t>
                                          </w:r>
                                          <w:r w:rsidR="0053105A" w:rsidRPr="00D74F30">
                                            <w:rPr>
                                              <w:lang w:val="lt-LT"/>
                                            </w:rPr>
                                            <w:t xml:space="preserve">REGATRACE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>projekto užduotį Nr. 3.3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,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</w:t>
                                          </w:r>
                                          <w:r w:rsidR="0053105A" w:rsidRPr="00D74F30">
                                            <w:rPr>
                                              <w:lang w:val="lt-LT"/>
                                            </w:rPr>
                                            <w:t xml:space="preserve">projekte dalyvaujančias tikslines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šalis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(BE, ES, IE, IT, LT, PL, RO, SK) atstovau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ja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organizacijos, dalyvaujančios atsinaujinančių dujų registrų / KG išduodančių įstaigų kūrime. 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 xml:space="preserve">Šioms šalims parengta demonstracinė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biometano 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 xml:space="preserve">KG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registro IT sistema, 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>leisianti praktiškai susipažinti su KG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registr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>o veiklos specifika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. Tai palengvins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kilmės garantijų registrų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</w:t>
                                          </w:r>
                                          <w:r w:rsidR="00FF76FB" w:rsidRPr="00D74F30">
                                            <w:rPr>
                                              <w:lang w:val="lt-LT"/>
                                            </w:rPr>
                                            <w:t>vystymą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 xml:space="preserve">tikslinėse šalyse 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ir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supažindins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su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>KG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dokument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>avimo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proces</w:t>
                                          </w:r>
                                          <w:r w:rsidR="007D6FE5" w:rsidRPr="00D74F30">
                                            <w:rPr>
                                              <w:lang w:val="lt-LT"/>
                                            </w:rPr>
                                            <w:t>ais</w:t>
                                          </w:r>
                                          <w:r w:rsidR="00510029" w:rsidRPr="00D74F30">
                                            <w:rPr>
                                              <w:lang w:val="lt-LT"/>
                                            </w:rPr>
                                            <w:t>.</w:t>
                                          </w:r>
                                        </w:p>
                                        <w:p w14:paraId="14E168B1" w14:textId="1C27A8A8" w:rsidR="00941B03" w:rsidRPr="00D74F30" w:rsidRDefault="00AF2D91" w:rsidP="00941B03">
                                          <w:pPr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</w:pPr>
                                          <w:hyperlink r:id="rId14" w:history="1">
                                            <w:r w:rsidR="00941B03" w:rsidRPr="00D74F30"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lt-LT"/>
                                              </w:rPr>
                                              <w:t>Daugiau skaityti čia</w:t>
                                            </w:r>
                                          </w:hyperlink>
                                        </w:p>
                                        <w:p w14:paraId="3426E3FF" w14:textId="1EC5C8CC" w:rsidR="00941B03" w:rsidRPr="00D74F30" w:rsidRDefault="00941B03" w:rsidP="00941B03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b/>
                                              <w:bCs/>
                                              <w:lang w:val="lt-LT"/>
                                            </w:rPr>
                                            <w:lastRenderedPageBreak/>
                                            <w:t>REGATRACE tinklo sukūrimas</w:t>
                                          </w:r>
                                        </w:p>
                                        <w:p w14:paraId="15BDE9E9" w14:textId="6FD48E7F" w:rsidR="00941B03" w:rsidRPr="00D74F30" w:rsidRDefault="00510029" w:rsidP="00941B03">
                                          <w:pPr>
                                            <w:jc w:val="both"/>
                                            <w:rPr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>Įkurta</w:t>
                                          </w:r>
                                          <w:r w:rsidR="002354E6" w:rsidRPr="00D74F30">
                                            <w:rPr>
                                              <w:lang w:val="lt-LT"/>
                                            </w:rPr>
                                            <w:t>s</w:t>
                                          </w:r>
                                          <w:r w:rsidRPr="00D74F30">
                                            <w:rPr>
                                              <w:lang w:val="lt-LT"/>
                                            </w:rPr>
                                            <w:t xml:space="preserve"> REGATRACE tinklas, kurio tikslas skatinti bendradarbiavimą tarp rinkos dalyvių, dalyvaujančių atsinaujinančių dujų KG dokumentavimo bei tarpvalstybinio apsikeitimo veikloje</w:t>
                                          </w:r>
                                          <w:r w:rsidR="00941B03" w:rsidRPr="00D74F30">
                                            <w:rPr>
                                              <w:lang w:val="lt-LT"/>
                                            </w:rPr>
                                            <w:t xml:space="preserve">, </w:t>
                                          </w:r>
                                          <w:r w:rsidR="002354E6" w:rsidRPr="00D74F30">
                                            <w:rPr>
                                              <w:lang w:val="lt-LT"/>
                                            </w:rPr>
                                            <w:t xml:space="preserve">leisiantis subalansuoti ir sinchronizuoti veiksmus, prisiderinant </w:t>
                                          </w:r>
                                          <w:r w:rsidR="00626533" w:rsidRPr="00D74F30">
                                            <w:rPr>
                                              <w:lang w:val="lt-LT"/>
                                            </w:rPr>
                                            <w:t xml:space="preserve">prie </w:t>
                                          </w:r>
                                          <w:r w:rsidR="002354E6" w:rsidRPr="00D74F30">
                                            <w:rPr>
                                              <w:lang w:val="lt-LT"/>
                                            </w:rPr>
                                            <w:t xml:space="preserve">Europoje </w:t>
                                          </w:r>
                                          <w:r w:rsidR="00626533" w:rsidRPr="00D74F30">
                                            <w:rPr>
                                              <w:lang w:val="lt-LT"/>
                                            </w:rPr>
                                            <w:t xml:space="preserve">vykstančių </w:t>
                                          </w:r>
                                          <w:r w:rsidR="002354E6" w:rsidRPr="00D74F30">
                                            <w:rPr>
                                              <w:lang w:val="lt-LT"/>
                                            </w:rPr>
                                            <w:t xml:space="preserve">minėtos veiklos </w:t>
                                          </w:r>
                                          <w:r w:rsidR="00607724" w:rsidRPr="00D74F30">
                                            <w:rPr>
                                              <w:lang w:val="lt-LT"/>
                                            </w:rPr>
                                            <w:t>pokyčių</w:t>
                                          </w:r>
                                          <w:r w:rsidR="00941B03" w:rsidRPr="00D74F30">
                                            <w:rPr>
                                              <w:lang w:val="lt-LT"/>
                                            </w:rPr>
                                            <w:t>.</w:t>
                                          </w:r>
                                        </w:p>
                                        <w:p w14:paraId="2B5A4948" w14:textId="61698DD6" w:rsidR="00941B03" w:rsidRPr="00D74F30" w:rsidRDefault="00AF2D91" w:rsidP="00941B03">
                                          <w:pPr>
                                            <w:rPr>
                                              <w:rStyle w:val="Hyperlink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lang w:val="lt-LT"/>
                                            </w:rPr>
                                          </w:pPr>
                                          <w:hyperlink r:id="rId15" w:history="1">
                                            <w:r w:rsidR="00941B03" w:rsidRPr="00D74F30"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lt-LT"/>
                                              </w:rPr>
                                              <w:t>Daugiau skaityti čia</w:t>
                                            </w:r>
                                          </w:hyperlink>
                                        </w:p>
                                        <w:p w14:paraId="022D66AE" w14:textId="77777777" w:rsidR="0077721D" w:rsidRPr="00D74F30" w:rsidRDefault="0077721D" w:rsidP="00941B03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1"/>
                                              <w:szCs w:val="21"/>
                                              <w:lang w:val="lt-L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3DCDFC" w14:textId="7B82E382" w:rsidR="0077721D" w:rsidRPr="00D74F30" w:rsidRDefault="0077721D" w:rsidP="0077721D">
                                    <w:pPr>
                                      <w:spacing w:after="0" w:line="315" w:lineRule="atLeast"/>
                                      <w:ind w:left="156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val="lt-L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5BD74C" w14:textId="77777777" w:rsidR="006C4952" w:rsidRPr="00D74F30" w:rsidRDefault="006C4952" w:rsidP="006C49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71357569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center" w:tblpY="-1414"/>
                    <w:tblOverlap w:val="never"/>
                    <w:tblW w:w="4743" w:type="pct"/>
                    <w:shd w:val="clear" w:color="auto" w:fill="1D2C73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1"/>
                  </w:tblGrid>
                  <w:tr w:rsidR="005A1CA8" w:rsidRPr="00D74F30" w14:paraId="241F1D18" w14:textId="77777777" w:rsidTr="005A1CA8">
                    <w:tc>
                      <w:tcPr>
                        <w:tcW w:w="0" w:type="auto"/>
                        <w:shd w:val="clear" w:color="auto" w:fill="1D2C73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6C556C0D" w14:textId="77777777" w:rsidR="005A1CA8" w:rsidRPr="00D74F30" w:rsidRDefault="005A1CA8" w:rsidP="005A1CA8">
                        <w:pPr>
                          <w:spacing w:after="0" w:line="405" w:lineRule="atLeast"/>
                          <w:jc w:val="center"/>
                          <w:rPr>
                            <w:rFonts w:ascii="Helvetica" w:eastAsia="Times New Roman" w:hAnsi="Helvetica" w:cs="Helvetica"/>
                            <w:color w:val="FFFFFF"/>
                            <w:sz w:val="27"/>
                            <w:szCs w:val="27"/>
                            <w:lang w:val="lt-LT"/>
                          </w:rPr>
                        </w:pPr>
                        <w:r w:rsidRPr="00D74F30">
                          <w:rPr>
                            <w:rFonts w:ascii="Open Sans" w:eastAsia="Times New Roman" w:hAnsi="Open Sans" w:cs="Open Sans"/>
                            <w:color w:val="FFFFFF"/>
                            <w:sz w:val="30"/>
                            <w:szCs w:val="30"/>
                            <w:lang w:val="lt-LT"/>
                          </w:rPr>
                          <w:lastRenderedPageBreak/>
                          <w:t>Šalių naujienos </w:t>
                        </w:r>
                      </w:p>
                    </w:tc>
                  </w:tr>
                </w:tbl>
                <w:p w14:paraId="7EBB6C3B" w14:textId="3157214F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76A5B10F" w14:textId="77777777" w:rsidR="005A1CA8" w:rsidRPr="00D74F30" w:rsidRDefault="005A1CA8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3022E981" w14:textId="3C621BC3" w:rsidR="00EF7F78" w:rsidRPr="00D74F30" w:rsidRDefault="00EF7F7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Austrija</w:t>
                  </w:r>
                </w:p>
                <w:p w14:paraId="1ACFCF79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571211CC" w14:textId="4C8FCE40" w:rsidR="00B56076" w:rsidRPr="00D74F30" w:rsidRDefault="00B56076" w:rsidP="00B56076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Austrijos biodujų pramonė tikisi 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reikšmingų patobulinimų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ir didesnio dėmesio dujoms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, pagamintoms 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iš atsinaujinančių energijos šaltinių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, 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Atsinaujinančių energijos šaltinių plėtros įstatyme, su kurio projektu galima susipažinti</w:t>
                  </w:r>
                </w:p>
                <w:p w14:paraId="277A43EA" w14:textId="77777777" w:rsidR="00D84ECF" w:rsidRPr="00D74F30" w:rsidRDefault="00D84ECF" w:rsidP="00B56076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0F8F0F92" w14:textId="1F4BC90C" w:rsidR="005A1CA8" w:rsidRPr="00D74F30" w:rsidRDefault="00C03277" w:rsidP="00C03277">
                  <w:pPr>
                    <w:rPr>
                      <w:rStyle w:val="Hyperlink"/>
                      <w:rFonts w:ascii="Helvetica" w:hAnsi="Helvetica" w:cs="Helvetica"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u w:val="none"/>
                      <w:lang w:val="lt-LT"/>
                    </w:rPr>
                    <w:t xml:space="preserve">         </w:t>
                  </w:r>
                  <w:r w:rsidR="0016092B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u w:val="none"/>
                      <w:lang w:val="lt-LT"/>
                    </w:rPr>
                    <w:t xml:space="preserve"> </w:t>
                  </w:r>
                  <w:hyperlink r:id="rId16" w:history="1">
                    <w:r w:rsidR="002354E6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D</w:t>
                    </w:r>
                    <w:r w:rsidR="005A1CA8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au</w:t>
                    </w:r>
                    <w:r w:rsidR="002354E6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giau</w:t>
                    </w:r>
                    <w:r w:rsidR="005A1CA8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 xml:space="preserve"> skaitykite čia</w:t>
                    </w:r>
                  </w:hyperlink>
                </w:p>
                <w:p w14:paraId="5A5E7C8A" w14:textId="2E689DEA" w:rsidR="005A1CA8" w:rsidRPr="00D74F30" w:rsidRDefault="005A1CA8" w:rsidP="005A1C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3E2698A5" w14:textId="3A8886E6" w:rsidR="00B56076" w:rsidRPr="00D74F30" w:rsidRDefault="00607724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Nuotolini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ų</w:t>
                  </w:r>
                  <w:r w:rsidR="00B5607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seminar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ų</w:t>
                  </w:r>
                  <w:r w:rsidR="00B5607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„klimaaktiv“ apie biometano 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įleidimą</w:t>
                  </w:r>
                  <w:r w:rsidR="00B5607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į dujų tinkl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us</w:t>
                  </w:r>
                  <w:r w:rsidR="00B5607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įrašai skelbiami viešai</w:t>
                  </w:r>
                </w:p>
                <w:p w14:paraId="531289B1" w14:textId="77777777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7E7EEE99" w14:textId="500E977A" w:rsidR="00B56076" w:rsidRPr="00D74F30" w:rsidRDefault="004A525F" w:rsidP="005A1CA8">
                  <w:pPr>
                    <w:spacing w:after="0" w:line="240" w:lineRule="auto"/>
                    <w:rPr>
                      <w:rStyle w:val="Hyperlink"/>
                      <w:rFonts w:ascii="Arial" w:eastAsia="Times New Roman" w:hAnsi="Arial" w:cs="Arial"/>
                      <w:b/>
                      <w:bCs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lang w:val="lt-LT"/>
                    </w:rPr>
                    <w:t xml:space="preserve">           </w: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"https://www.regatrace.eu/online-recordings-of-the-klimaaktiv-workshop-series-on-biomethane-injection-into-the-gas-grid-are-publicly-available/"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2354E6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662F42E8" w14:textId="5B204830" w:rsidR="00B56076" w:rsidRPr="00D74F30" w:rsidRDefault="004A525F" w:rsidP="005A1C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5406E5BF" w14:textId="27A8B012" w:rsidR="00EF7F78" w:rsidRPr="00D74F30" w:rsidRDefault="00EF7F78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0ED7DA51" w14:textId="21235DC4" w:rsidR="00EF7F78" w:rsidRPr="00D74F30" w:rsidRDefault="00B56076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Belgija</w:t>
                  </w:r>
                </w:p>
                <w:p w14:paraId="64D0D947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6A0E6943" w14:textId="09392512" w:rsidR="00B56076" w:rsidRPr="00D74F30" w:rsidRDefault="00B56076" w:rsidP="00B56076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Antras Biometano darbo grupės seminaras Belgijoje</w:t>
                  </w:r>
                </w:p>
                <w:p w14:paraId="704FC7E0" w14:textId="77777777" w:rsidR="00D84ECF" w:rsidRPr="00D74F30" w:rsidRDefault="00D84ECF" w:rsidP="00B56076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4B9222C8" w14:textId="1A1368C6" w:rsidR="00EF7F78" w:rsidRPr="00D74F30" w:rsidRDefault="00C03277" w:rsidP="00C03277">
                  <w:pPr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lang w:val="lt-LT"/>
                    </w:rPr>
                    <w:t xml:space="preserve">           </w:t>
                  </w:r>
                  <w:hyperlink r:id="rId17" w:history="1">
                    <w:r w:rsidRPr="00D74F30">
                      <w:rPr>
                        <w:rStyle w:val="Hyperlink"/>
                        <w:vanish/>
                        <w:lang w:val="lt-LT"/>
                      </w:rPr>
                      <w:t xml:space="preserve">           </w:t>
                    </w:r>
                    <w:r w:rsidR="002354E6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Daug</w:t>
                    </w:r>
                    <w:r w:rsidR="00202A07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iau skaitykite čia</w:t>
                    </w:r>
                  </w:hyperlink>
                </w:p>
                <w:p w14:paraId="060C4366" w14:textId="005D9936" w:rsidR="004A525F" w:rsidRPr="00D74F30" w:rsidRDefault="004A525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Nauja biometano potencialo </w:t>
                  </w:r>
                  <w:r w:rsidR="002354E6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Flandrijoje į</w:t>
                  </w:r>
                  <w:r w:rsidR="002354E6" w:rsidRPr="00D74F30">
                    <w:rPr>
                      <w:rFonts w:ascii="Arial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vertinimo</w:t>
                  </w:r>
                  <w:r w:rsidR="002354E6" w:rsidRPr="00D74F30">
                    <w:rPr>
                      <w:rFonts w:ascii="Arial" w:hAnsi="Arial" w:cs="Arial"/>
                      <w:color w:val="1D2C73"/>
                      <w:sz w:val="23"/>
                      <w:szCs w:val="23"/>
                      <w:lang w:val="lt-LT"/>
                    </w:rPr>
                    <w:t xml:space="preserve"> 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studija </w:t>
                  </w:r>
                </w:p>
                <w:p w14:paraId="72AEC519" w14:textId="77777777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47F851F8" w14:textId="36540234" w:rsidR="004A525F" w:rsidRPr="00D74F30" w:rsidRDefault="004A525F" w:rsidP="004A525F">
                  <w:pPr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lang w:val="lt-LT"/>
                    </w:rPr>
                    <w:t xml:space="preserve">           </w:t>
                  </w:r>
                  <w:hyperlink r:id="rId18" w:history="1">
                    <w:r w:rsidRPr="00D74F30">
                      <w:rPr>
                        <w:rStyle w:val="Hyperlink"/>
                        <w:vanish/>
                        <w:lang w:val="lt-LT"/>
                      </w:rPr>
                      <w:t xml:space="preserve">           </w:t>
                    </w:r>
                    <w:r w:rsidR="002354E6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Daug</w:t>
                    </w:r>
                    <w:r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iau skaitykite čia</w:t>
                    </w:r>
                  </w:hyperlink>
                </w:p>
                <w:p w14:paraId="6A020F23" w14:textId="77777777" w:rsidR="004A525F" w:rsidRPr="00D74F30" w:rsidRDefault="004A525F" w:rsidP="005B6087">
                  <w:pPr>
                    <w:spacing w:after="0" w:line="240" w:lineRule="auto"/>
                    <w:ind w:left="559"/>
                    <w:rPr>
                      <w:rStyle w:val="Hyperlink"/>
                      <w:b/>
                      <w:bCs/>
                      <w:i/>
                      <w:iCs/>
                      <w:lang w:val="lt-LT"/>
                    </w:rPr>
                  </w:pPr>
                </w:p>
                <w:p w14:paraId="53D346BA" w14:textId="3B2C7806" w:rsidR="005A1CA8" w:rsidRPr="00D74F30" w:rsidRDefault="004A525F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Estija</w:t>
                  </w:r>
                </w:p>
                <w:p w14:paraId="340541FE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1020A2BB" w14:textId="35CC45B8" w:rsidR="004A525F" w:rsidRPr="00D74F30" w:rsidRDefault="004A525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Obuolių šerdys ar mėšlas: viskas gali būti kuras!</w:t>
                  </w:r>
                </w:p>
                <w:p w14:paraId="789B8493" w14:textId="77777777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0DE7E785" w14:textId="526C9D2B" w:rsidR="00EF7F78" w:rsidRPr="00D74F30" w:rsidRDefault="004A525F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"https://www.regatrace.eu/apple-core-or-manure-everything-can-be-fuel/"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FE3CA3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="00202A07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4AF2123B" w14:textId="506A6F31" w:rsidR="00EF7F78" w:rsidRPr="00D74F30" w:rsidRDefault="004A525F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25937C5E" w14:textId="2FD961BE" w:rsidR="00D84ECF" w:rsidRPr="00D74F30" w:rsidRDefault="004A525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Alternatyvieji degalai padeda sumažinti viešojo transporto anglies </w:t>
                  </w:r>
                  <w:r w:rsidR="00FE3CA3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d</w:t>
                  </w:r>
                  <w:r w:rsidR="00FE3CA3" w:rsidRPr="00D74F30">
                    <w:rPr>
                      <w:rFonts w:ascii="Arial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videginio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išmetim</w:t>
                  </w:r>
                  <w:r w:rsidR="00FE3CA3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us</w:t>
                  </w:r>
                </w:p>
                <w:p w14:paraId="52BB7904" w14:textId="507FDACA" w:rsidR="004A525F" w:rsidRPr="00D74F30" w:rsidRDefault="004A525F" w:rsidP="00FE3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1E9FBBF7" w14:textId="77777777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6FBB9196" w14:textId="2714AE2C" w:rsidR="00EF7F78" w:rsidRPr="00D74F30" w:rsidRDefault="004A525F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"https://www.regatrace.eu/alternative-fuels-help-reduce-public-transport-footprint/"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FE3CA3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="00202A07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0200E350" w14:textId="0E83CCCE" w:rsidR="00C03277" w:rsidRPr="00D74F30" w:rsidRDefault="004A525F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1E590AC3" w14:textId="48C16F83" w:rsidR="00EF7F78" w:rsidRPr="00D74F30" w:rsidRDefault="00EF7F78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3FDFBDF2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5EFFE6A5" w14:textId="2D3E0761" w:rsidR="00202A07" w:rsidRPr="00D74F30" w:rsidRDefault="004A525F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Vokietija</w:t>
                  </w:r>
                </w:p>
                <w:p w14:paraId="4C8836CA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0E4B6A2D" w14:textId="24B3F2B1" w:rsidR="004A525F" w:rsidRPr="00D74F30" w:rsidRDefault="004A525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Vieno iš pirmųjų biometano skystinimo įrenginių statyba Vokietijoje</w:t>
                  </w:r>
                </w:p>
                <w:p w14:paraId="26723B3B" w14:textId="77777777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5B919E45" w14:textId="06058A6B" w:rsidR="00202A07" w:rsidRPr="00D74F30" w:rsidRDefault="00AF2D91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hyperlink r:id="rId19" w:history="1">
                    <w:r w:rsidR="00202A07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Plačiau skaitykite čia</w:t>
                    </w:r>
                  </w:hyperlink>
                </w:p>
                <w:p w14:paraId="36CFF04C" w14:textId="77777777" w:rsidR="00C03277" w:rsidRPr="00D74F30" w:rsidRDefault="00C03277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161F21A3" w14:textId="270F951D" w:rsidR="004A525F" w:rsidRPr="00D74F30" w:rsidRDefault="004A525F" w:rsidP="005B6087">
                  <w:pPr>
                    <w:spacing w:after="0" w:line="240" w:lineRule="auto"/>
                    <w:ind w:left="559"/>
                    <w:rPr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SGD ir bio-SGD ateitis Vokietijos sunkiasvori</w:t>
                  </w:r>
                  <w:r w:rsidR="00FE3CA3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o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transporto sektoriuje</w:t>
                  </w:r>
                  <w:r w:rsidRPr="00D74F30">
                    <w:rPr>
                      <w:lang w:val="lt-LT"/>
                    </w:rPr>
                    <w:t xml:space="preserve"> </w:t>
                  </w:r>
                </w:p>
                <w:p w14:paraId="326D06E6" w14:textId="77777777" w:rsidR="00D84ECF" w:rsidRPr="00D74F30" w:rsidRDefault="00D84ECF" w:rsidP="005B6087">
                  <w:pPr>
                    <w:spacing w:after="0" w:line="240" w:lineRule="auto"/>
                    <w:ind w:left="559"/>
                    <w:rPr>
                      <w:lang w:val="lt-LT"/>
                    </w:rPr>
                  </w:pPr>
                </w:p>
                <w:p w14:paraId="7F6271E6" w14:textId="07D28D4C" w:rsidR="00202A07" w:rsidRPr="00D74F30" w:rsidRDefault="00AF2D91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hyperlink r:id="rId20" w:history="1">
                    <w:r w:rsidR="00FE3CA3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Daug</w:t>
                    </w:r>
                    <w:r w:rsidR="00202A07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iau skaitykite čia</w:t>
                    </w:r>
                  </w:hyperlink>
                </w:p>
                <w:p w14:paraId="26EF8329" w14:textId="77777777" w:rsidR="00C03277" w:rsidRPr="00D74F30" w:rsidRDefault="00C03277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0BE4C86C" w14:textId="1BAE75F5" w:rsidR="00394F3B" w:rsidRPr="00D74F30" w:rsidRDefault="00394F3B" w:rsidP="004A525F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0EEFE7A9" w14:textId="249705F4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50CC2706" w14:textId="4301F2A9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3CC7234C" w14:textId="77777777" w:rsidR="00D84ECF" w:rsidRPr="00D74F30" w:rsidRDefault="00D84ECF" w:rsidP="004A525F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743DDA6C" w14:textId="51858FA7" w:rsidR="004A525F" w:rsidRPr="00D74F30" w:rsidRDefault="004A525F" w:rsidP="004A525F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lastRenderedPageBreak/>
                    <w:t>Italija</w:t>
                  </w:r>
                </w:p>
                <w:p w14:paraId="7760E5BB" w14:textId="7E6AD954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64206A71" w14:textId="3EA1F5A6" w:rsidR="004A525F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Nacionaliniame ekonomikos gaivinimo ir atsparumo didinimo plane (NEGADP) numatytos galimybės plėsti biometano naudojimą žemės ūkyje</w:t>
                  </w:r>
                </w:p>
                <w:p w14:paraId="6659AF61" w14:textId="77777777" w:rsidR="00D84ECF" w:rsidRPr="00D74F30" w:rsidRDefault="00D84ECF" w:rsidP="005B6087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33EE6021" w14:textId="177C1CFB" w:rsidR="00394F3B" w:rsidRPr="00D74F30" w:rsidRDefault="00394F3B" w:rsidP="00394F3B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"https://www.regatrace.eu/the-nrrp-opportunities-for-the-development-of-biomethane-in-agriculture/"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FE3CA3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0670AFF2" w14:textId="1EF06C32" w:rsidR="004A525F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61B86F28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4586D067" w14:textId="77777777" w:rsidR="004A525F" w:rsidRPr="00D74F30" w:rsidRDefault="004A525F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3BF99C64" w14:textId="71F17B32" w:rsidR="00202A07" w:rsidRPr="00D74F30" w:rsidRDefault="00202A07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02ED7C67" w14:textId="1D845009" w:rsidR="00CB33A5" w:rsidRPr="00D74F30" w:rsidRDefault="00CB33A5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L</w:t>
                  </w:r>
                  <w:r w:rsidR="004A525F"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ietuva</w:t>
                  </w:r>
                </w:p>
                <w:p w14:paraId="3BC3A4A7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77FF3911" w14:textId="3F3A9865" w:rsidR="004A525F" w:rsidRPr="00D74F30" w:rsidRDefault="004A525F" w:rsidP="004A525F">
                  <w:pPr>
                    <w:spacing w:after="0" w:line="240" w:lineRule="auto"/>
                    <w:ind w:left="559"/>
                    <w:rPr>
                      <w:rFonts w:ascii="Arial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Priimtas Alternatyviųjų degalų įstatymas: kaip per </w:t>
                  </w:r>
                  <w:r w:rsidR="00FE3CA3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a</w:t>
                  </w:r>
                  <w:r w:rsidR="00FE3CA3" w:rsidRPr="00D74F30">
                    <w:rPr>
                      <w:rFonts w:ascii="Arial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teinantį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dešimtmetį pasikeis transporto sektorius</w:t>
                  </w:r>
                  <w:r w:rsidR="00FE3CA3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</w:t>
                  </w:r>
                  <w:r w:rsidR="00FE3CA3" w:rsidRPr="00D74F30">
                    <w:rPr>
                      <w:rFonts w:ascii="Arial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Lietuvoje</w:t>
                  </w:r>
                </w:p>
                <w:p w14:paraId="45F525B2" w14:textId="77777777" w:rsidR="00FE3CA3" w:rsidRPr="00D74F30" w:rsidRDefault="00FE3CA3" w:rsidP="004A525F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4E49838A" w14:textId="3504B1DB" w:rsidR="00CB33A5" w:rsidRPr="00D74F30" w:rsidRDefault="004A525F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"https://www.regatrace.eu/the-law-on-alternative-fuels-has-been-passed-how-the-transport-sector-will-change-over-the-next-decade/"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FE3CA3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="00CB33A5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6DCA263E" w14:textId="4745F4CE" w:rsidR="00CB33A5" w:rsidRPr="00D74F30" w:rsidRDefault="004A525F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6496A9D5" w14:textId="77777777" w:rsidR="00C03277" w:rsidRPr="00D74F30" w:rsidRDefault="00C03277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4CF2D04C" w14:textId="7B8D3316" w:rsidR="00CB33A5" w:rsidRPr="00D74F30" w:rsidRDefault="00CB33A5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72EDBFDC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34D804D5" w14:textId="435FEF62" w:rsidR="00CB33A5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Lenkija</w:t>
                  </w:r>
                </w:p>
                <w:p w14:paraId="0D796F53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12828C06" w14:textId="44DDCB3E" w:rsidR="00394F3B" w:rsidRPr="00D74F30" w:rsidRDefault="00394F3B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„ORLEN Południe“ ir „PGNiG“ siekia </w:t>
                  </w:r>
                  <w:r w:rsidR="00FE3CA3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v</w:t>
                  </w:r>
                  <w:r w:rsidR="00FE3CA3" w:rsidRPr="00D74F30">
                    <w:rPr>
                      <w:rFonts w:ascii="Arial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ystyti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biometano gamybos verslą Lenkijoje</w:t>
                  </w:r>
                </w:p>
                <w:p w14:paraId="285DE5F9" w14:textId="77777777" w:rsidR="00D84ECF" w:rsidRPr="00D74F30" w:rsidRDefault="00D84ECF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3659EE29" w14:textId="257D9FBB" w:rsidR="00CB33A5" w:rsidRPr="00D74F30" w:rsidRDefault="00394F3B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"https://www.regatrace.eu/orlen-poludnie-and-pgnig-to-develop-biomethane-production-business-in-poland/"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FE3CA3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="00CB33A5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67401484" w14:textId="11FAEB6F" w:rsidR="00CB33A5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4D23869C" w14:textId="703E24C9" w:rsidR="00D84ECF" w:rsidRPr="00D74F30" w:rsidRDefault="00394F3B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Artėjama prie susitarimo dėl biodujų ir biometano sektoriaus plėtros Lenkijoje</w:t>
                  </w:r>
                </w:p>
                <w:p w14:paraId="013F1D54" w14:textId="354C59F3" w:rsidR="00394F3B" w:rsidRPr="00D74F30" w:rsidRDefault="00394F3B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</w:t>
                  </w:r>
                </w:p>
                <w:p w14:paraId="307F4553" w14:textId="1157CC1D" w:rsidR="00CB33A5" w:rsidRPr="00D74F30" w:rsidRDefault="00394F3B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"https://www.regatrace.eu/getting-closer-to-signing-the-sectoral-agreement-on-the-development-of-the-biogas-and-biomethane-sector-in-poland/"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FE3CA3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="00CB33A5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6BB7B73D" w14:textId="16A8D07F" w:rsidR="00C03277" w:rsidRPr="00D74F30" w:rsidRDefault="00394F3B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2FB193B7" w14:textId="25E65847" w:rsidR="00CB33A5" w:rsidRPr="00D74F30" w:rsidRDefault="00CB33A5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10D5714A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3257D716" w14:textId="6F204A77" w:rsidR="00CB33A5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Rumunija</w:t>
                  </w:r>
                </w:p>
                <w:p w14:paraId="2A26F494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520B3BC3" w14:textId="66EFE583" w:rsidR="00394F3B" w:rsidRPr="00D74F30" w:rsidRDefault="00394F3B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ES sanglaudos politika: 216 mln. EUR skirta Bukarešto šiluminės energijos perdavimo sistemai</w:t>
                  </w:r>
                </w:p>
                <w:p w14:paraId="1C44C070" w14:textId="77777777" w:rsidR="00D84ECF" w:rsidRPr="00D74F30" w:rsidRDefault="00D84ECF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075358A6" w14:textId="4CBC6ECA" w:rsidR="00CB33A5" w:rsidRPr="00D74F30" w:rsidRDefault="00AF2D91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hyperlink r:id="rId21" w:history="1">
                    <w:r w:rsidR="0050604D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Daug</w:t>
                    </w:r>
                    <w:r w:rsidR="00026D70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iau skaitykite čia</w:t>
                    </w:r>
                  </w:hyperlink>
                </w:p>
                <w:p w14:paraId="7611C6E9" w14:textId="2308D2EF" w:rsidR="00C03277" w:rsidRPr="00D74F30" w:rsidRDefault="00C03277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7DC8A624" w14:textId="77777777" w:rsidR="00C03277" w:rsidRPr="00D74F30" w:rsidRDefault="00C03277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7C6D04ED" w14:textId="7D63052F" w:rsidR="00CB33A5" w:rsidRPr="00D74F30" w:rsidRDefault="00CB33A5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66427BE6" w14:textId="7D6C55BE" w:rsidR="00026D70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Ispanija</w:t>
                  </w:r>
                </w:p>
                <w:p w14:paraId="7F817203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40C38760" w14:textId="1497471B" w:rsidR="00394F3B" w:rsidRPr="00D74F30" w:rsidRDefault="00394F3B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Ispanijos Ekologinės pertvarkos ir demografinių iššūkių ministerija švenčia Ispanijos pirmojo </w:t>
                  </w:r>
                  <w:bookmarkStart w:id="2" w:name="_Hlk75782408"/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Kovos su klimato kaita ir energijos pertvarkos įstatymo </w:t>
                  </w:r>
                  <w:bookmarkEnd w:id="2"/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patvirtinimą Deputatų kongrese</w:t>
                  </w:r>
                </w:p>
                <w:p w14:paraId="0A8F960D" w14:textId="77777777" w:rsidR="00D84ECF" w:rsidRPr="00D74F30" w:rsidRDefault="00D84ECF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204C7BC6" w14:textId="3AD6A6A2" w:rsidR="00CB33A5" w:rsidRPr="00D74F30" w:rsidRDefault="00AF2D91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hyperlink r:id="rId22" w:history="1">
                    <w:r w:rsidR="0050604D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Daug</w:t>
                    </w:r>
                    <w:r w:rsidR="00026D70" w:rsidRPr="00D74F30">
                      <w:rPr>
                        <w:rStyle w:val="Hyperlink"/>
                        <w:rFonts w:ascii="Helvetica" w:eastAsia="Times New Roman" w:hAnsi="Helvetica" w:cs="Helvetica"/>
                        <w:b/>
                        <w:bCs/>
                        <w:i/>
                        <w:iCs/>
                        <w:sz w:val="20"/>
                        <w:szCs w:val="20"/>
                        <w:lang w:val="lt-LT"/>
                      </w:rPr>
                      <w:t>iau skaitykite čia</w:t>
                    </w:r>
                  </w:hyperlink>
                </w:p>
                <w:p w14:paraId="0D35C0DC" w14:textId="77777777" w:rsidR="00C03277" w:rsidRPr="00D74F30" w:rsidRDefault="00C03277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5B31808E" w14:textId="6767E106" w:rsidR="00CB33A5" w:rsidRPr="00D74F30" w:rsidRDefault="00CB33A5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  <w:p w14:paraId="1730856A" w14:textId="7777777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6B91E450" w14:textId="080EAB83" w:rsidR="00026D70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  <w:t>Airija</w:t>
                  </w:r>
                </w:p>
                <w:p w14:paraId="2E641013" w14:textId="77777777" w:rsidR="005A1CA8" w:rsidRPr="00D74F30" w:rsidRDefault="005A1CA8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  <w:shd w:val="clear" w:color="auto" w:fill="A3C961"/>
                      <w:lang w:val="lt-LT"/>
                    </w:rPr>
                  </w:pPr>
                </w:p>
                <w:p w14:paraId="1E83590E" w14:textId="7F0D12E2" w:rsidR="00394F3B" w:rsidRPr="00D74F30" w:rsidRDefault="00394F3B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Airijos veiksmai</w:t>
                  </w:r>
                  <w:r w:rsidR="0050604D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,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siekiant įtvirtinti biometano reglamentavimą naujuose teisės aktuose ir sustiprinti paramą šio sektoriaus vartotojams</w:t>
                  </w:r>
                  <w:r w:rsidR="0050604D"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>,</w:t>
                  </w:r>
                  <w:r w:rsidRPr="00D74F30"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  <w:t xml:space="preserve"> įgauna pagreitį</w:t>
                  </w:r>
                </w:p>
                <w:p w14:paraId="5445F606" w14:textId="77777777" w:rsidR="00D84ECF" w:rsidRPr="00D74F30" w:rsidRDefault="00D84ECF" w:rsidP="00394F3B">
                  <w:pPr>
                    <w:spacing w:after="0" w:line="240" w:lineRule="auto"/>
                    <w:ind w:left="559"/>
                    <w:rPr>
                      <w:rFonts w:ascii="Arial" w:eastAsia="Times New Roman" w:hAnsi="Arial" w:cs="Arial"/>
                      <w:b/>
                      <w:bCs/>
                      <w:color w:val="1D2C73"/>
                      <w:sz w:val="23"/>
                      <w:szCs w:val="23"/>
                      <w:lang w:val="lt-LT"/>
                    </w:rPr>
                  </w:pPr>
                </w:p>
                <w:p w14:paraId="4B286588" w14:textId="6A13DF57" w:rsidR="00CB33A5" w:rsidRPr="00D74F30" w:rsidRDefault="00394F3B" w:rsidP="005B6087">
                  <w:pPr>
                    <w:spacing w:after="0" w:line="240" w:lineRule="auto"/>
                    <w:ind w:left="559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begin"/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instrText xml:space="preserve"> HYPERLINK "https://www.regatrace.eu/momentum-is-gathering-for-ireland-to-embrace-biomethane-within-a-new-legislative-framework-and-with-strong-industry-consumer-support/" </w:instrText>
                  </w: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separate"/>
                  </w:r>
                  <w:r w:rsidR="0050604D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Daug</w:t>
                  </w:r>
                  <w:r w:rsidR="00026D70" w:rsidRPr="00D74F30"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t>iau skaitykite čia</w:t>
                  </w:r>
                </w:p>
                <w:p w14:paraId="0E374EAE" w14:textId="3B7AEC01" w:rsidR="00C03277" w:rsidRPr="00D74F30" w:rsidRDefault="00394F3B" w:rsidP="005B6087">
                  <w:pPr>
                    <w:spacing w:after="0" w:line="240" w:lineRule="auto"/>
                    <w:ind w:left="559"/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  <w:r w:rsidRPr="00D74F30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  <w:fldChar w:fldCharType="end"/>
                  </w:r>
                </w:p>
                <w:p w14:paraId="75BCBA8D" w14:textId="644DAB68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lang w:val="lt-LT"/>
                    </w:rPr>
                  </w:pPr>
                </w:p>
                <w:p w14:paraId="12B59C1C" w14:textId="5C32A427" w:rsidR="0016092B" w:rsidRPr="00D74F30" w:rsidRDefault="0016092B" w:rsidP="005B6087">
                  <w:pPr>
                    <w:spacing w:after="0" w:line="240" w:lineRule="auto"/>
                    <w:ind w:left="559"/>
                    <w:rPr>
                      <w:lang w:val="lt-LT"/>
                    </w:rPr>
                  </w:pPr>
                </w:p>
                <w:p w14:paraId="1E8CB757" w14:textId="77777777" w:rsidR="0016092B" w:rsidRPr="00D74F30" w:rsidRDefault="0016092B" w:rsidP="0050604D">
                  <w:pPr>
                    <w:spacing w:after="0" w:line="240" w:lineRule="auto"/>
                    <w:rPr>
                      <w:rStyle w:val="Hyperlink"/>
                      <w:rFonts w:ascii="Helvetica" w:eastAsia="Times New Roman" w:hAnsi="Helvetica" w:cs="Helvetica"/>
                      <w:b/>
                      <w:bCs/>
                      <w:i/>
                      <w:iCs/>
                      <w:sz w:val="20"/>
                      <w:szCs w:val="20"/>
                      <w:lang w:val="lt-LT"/>
                    </w:rPr>
                  </w:pPr>
                </w:p>
                <w:p w14:paraId="4FE90CB7" w14:textId="4EFE8CDB" w:rsidR="00202A07" w:rsidRPr="00D74F30" w:rsidRDefault="00202A07" w:rsidP="005B6087">
                  <w:pPr>
                    <w:spacing w:after="0" w:line="240" w:lineRule="auto"/>
                    <w:ind w:left="559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052DD2C8" w14:textId="49FBF41C" w:rsidR="00026D70" w:rsidRPr="00D74F30" w:rsidRDefault="00026D70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61D0AB83" w14:textId="2C004056" w:rsidR="00026D70" w:rsidRPr="00D74F30" w:rsidRDefault="00026D70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20B0EDA6" w14:textId="3E99BAF1" w:rsidR="005B6087" w:rsidRPr="00D74F30" w:rsidRDefault="005B6087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2AA58DE3" w14:textId="2C410B3E" w:rsidR="005B6087" w:rsidRPr="00D74F30" w:rsidRDefault="005B6087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p w14:paraId="565911D4" w14:textId="77777777" w:rsidR="005B6087" w:rsidRPr="00D74F30" w:rsidRDefault="005B6087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1302D29A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0FFD78B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82"/>
                              </w:tblGrid>
                              <w:tr w:rsidR="006C4952" w:rsidRPr="00D74F30" w14:paraId="29C828D6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180" w:rightFromText="180" w:vertAnchor="text" w:horzAnchor="margin" w:tblpY="-549"/>
                                      <w:tblOverlap w:val="never"/>
                                      <w:tblW w:w="5000" w:type="pct"/>
                                      <w:shd w:val="clear" w:color="auto" w:fill="1D2C73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42"/>
                                    </w:tblGrid>
                                    <w:tr w:rsidR="00920690" w:rsidRPr="00D74F30" w14:paraId="22A03473" w14:textId="77777777" w:rsidTr="00920690">
                                      <w:tc>
                                        <w:tcPr>
                                          <w:tcW w:w="0" w:type="auto"/>
                                          <w:shd w:val="clear" w:color="auto" w:fill="1D2C73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7340B3E" w14:textId="77777777" w:rsidR="00920690" w:rsidRPr="00D74F30" w:rsidRDefault="00D83D18" w:rsidP="00920690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2F2F2"/>
                                              <w:sz w:val="21"/>
                                              <w:szCs w:val="21"/>
                                              <w:lang w:val="lt-LT"/>
                                            </w:rPr>
                                          </w:pPr>
                                          <w:r w:rsidRPr="00D74F30">
                                            <w:rPr>
                                              <w:rFonts w:ascii="Open Sans" w:eastAsia="Times New Roman" w:hAnsi="Open Sans" w:cs="Open Sans"/>
                                              <w:color w:val="F2F2F2"/>
                                              <w:sz w:val="30"/>
                                              <w:szCs w:val="30"/>
                                              <w:lang w:val="lt-LT"/>
                                            </w:rPr>
                                            <w:lastRenderedPageBreak/>
                                            <w:t>Susipažinkite su konsorciumu</w:t>
                                          </w:r>
                                          <w:r w:rsidR="00920690" w:rsidRPr="00D74F30">
                                            <w:rPr>
                                              <w:rFonts w:ascii="Open Sans" w:eastAsia="Times New Roman" w:hAnsi="Open Sans" w:cs="Open Sans"/>
                                              <w:color w:val="F2F2F2"/>
                                              <w:sz w:val="30"/>
                                              <w:szCs w:val="30"/>
                                              <w:lang w:val="lt-LT"/>
                                            </w:rPr>
                                            <w:t>!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08DB0B" w14:textId="77777777" w:rsidR="006C4952" w:rsidRPr="00D74F30" w:rsidRDefault="00113AF8" w:rsidP="00D83D18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0"/>
                                        <w:szCs w:val="20"/>
                                        <w:lang w:val="lt-LT"/>
                                      </w:rPr>
                                      <w:t>REGATRACE konsorciumą sudaro 15 partnerių iš 10 šalių (Austrijos, Belgijos, Estijos, Vokietijos, Airijos, Italijos, Lietuvos, Lenkijos, Rumunijos ir Ispanijos), kurie dirba kartu siekdami prisidėti prie biometano rinkos vystymo.</w:t>
                                    </w:r>
                                  </w:p>
                                </w:tc>
                              </w:tr>
                            </w:tbl>
                            <w:p w14:paraId="7ED36CAF" w14:textId="77777777" w:rsidR="006C4952" w:rsidRPr="00D74F30" w:rsidRDefault="006C4952" w:rsidP="006C49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0A0C4013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6E560C2C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0922F7F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52"/>
                        </w:tblGrid>
                        <w:tr w:rsidR="006C4952" w:rsidRPr="00D74F30" w14:paraId="7698025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61DF6F5" w14:textId="77777777" w:rsidR="006C4952" w:rsidRPr="00D74F30" w:rsidRDefault="006C4952" w:rsidP="006C49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D74F3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lt-LT"/>
                                </w:rPr>
                                <w:drawing>
                                  <wp:inline distT="0" distB="0" distL="0" distR="0" wp14:anchorId="250E9A8C" wp14:editId="3C4BA07C">
                                    <wp:extent cx="5372100" cy="3581400"/>
                                    <wp:effectExtent l="0" t="0" r="0" b="0"/>
                                    <wp:docPr id="5" name="Picture 5" descr="https://gallery.mailchimp.com/176883bf656b812acbb780c49/images/147bd348-085b-4084-b707-8ca8dbf8a6c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gallery.mailchimp.com/176883bf656b812acbb780c49/images/147bd348-085b-4084-b707-8ca8dbf8a6c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581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09E0497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1D90644D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0654DC8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7A82104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82"/>
                              </w:tblGrid>
                              <w:tr w:rsidR="006C4952" w:rsidRPr="00D74F30" w14:paraId="7C03CE3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764AB13" w14:textId="77777777" w:rsidR="006C4952" w:rsidRPr="00D74F30" w:rsidRDefault="006C4952" w:rsidP="00D83D18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val="lt-LT"/>
                                      </w:rPr>
                                    </w:pPr>
                                    <w:r w:rsidRPr="00D74F3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F2F2F2"/>
                                        <w:sz w:val="21"/>
                                        <w:szCs w:val="21"/>
                                        <w:lang w:val="lt-LT"/>
                                      </w:rPr>
                                      <w:drawing>
                                        <wp:inline distT="0" distB="0" distL="0" distR="0" wp14:anchorId="3C5894A8" wp14:editId="2D4BC22E">
                                          <wp:extent cx="952500" cy="609600"/>
                                          <wp:effectExtent l="0" t="0" r="0" b="0"/>
                                          <wp:docPr id="4" name="Picture 4" descr="https://gallery.mailchimp.com/176883bf656b812acbb780c49/images/93802e2f-9830-407b-88fc-9a998a1c4289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gallery.mailchimp.com/176883bf656b812acbb780c49/images/93802e2f-9830-407b-88fc-9a998a1c4289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609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74F30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val="lt-LT"/>
                                      </w:rPr>
                                      <w:br/>
                                    </w:r>
                                    <w:r w:rsidRPr="00D74F30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val="lt-LT"/>
                                      </w:rPr>
                                      <w:br/>
                                    </w:r>
                                    <w:r w:rsidR="00D83D18" w:rsidRPr="00D74F30">
                                      <w:rPr>
                                        <w:rFonts w:ascii="Helvetica" w:eastAsia="Times New Roman" w:hAnsi="Helvetica" w:cs="Helvetica"/>
                                        <w:color w:val="696969"/>
                                        <w:sz w:val="20"/>
                                        <w:szCs w:val="20"/>
                                        <w:lang w:val="lt-LT"/>
                                      </w:rPr>
                                      <w:t>Šiam projektui suteiktas finansavimas pagal Europos Sąjungos bendrąją mokslinių tyrimų ir inovacijų programą „Horizontas 2020“, pagal Dotacijų susitarimą Nr. 857796</w:t>
                                    </w:r>
                                    <w:r w:rsidRPr="00D74F30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val="lt-LT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90B1DC6" w14:textId="77777777" w:rsidR="006C4952" w:rsidRPr="00D74F30" w:rsidRDefault="006C4952" w:rsidP="006C49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6AB6EAA6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009C7140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50CB6F9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52"/>
                        </w:tblGrid>
                        <w:tr w:rsidR="006C4952" w:rsidRPr="00D74F30" w14:paraId="79EC22C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p w14:paraId="6A05C1E3" w14:textId="77777777" w:rsidR="006C4952" w:rsidRPr="00D74F30" w:rsidRDefault="006C4952" w:rsidP="006C49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72FF8CDA" w14:textId="77777777" w:rsidR="006C4952" w:rsidRPr="00D74F30" w:rsidRDefault="006C4952" w:rsidP="006C49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27840EEE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2624F18F" w14:textId="77777777"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37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EEEEE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2"/>
                        </w:tblGrid>
                        <w:tr w:rsidR="006C4952" w:rsidRPr="00D74F30" w14:paraId="227B5A0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3D809A" w14:textId="77777777" w:rsidR="006C4952" w:rsidRPr="00D74F30" w:rsidRDefault="006C4952" w:rsidP="006C49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7138ABD5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7253B311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lt-L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2"/>
                  </w:tblGrid>
                  <w:tr w:rsidR="006C4952" w:rsidRPr="00D74F30" w14:paraId="1D5F2A7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2"/>
                        </w:tblGrid>
                        <w:tr w:rsidR="006C4952" w:rsidRPr="00D74F30" w14:paraId="78E7B990" w14:textId="77777777" w:rsidTr="0016092B">
                          <w:trPr>
                            <w:trHeight w:val="574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0099541" w14:textId="77777777" w:rsidR="006C4952" w:rsidRPr="00D74F30" w:rsidRDefault="006C4952" w:rsidP="006C4952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</w:pPr>
                              <w:r w:rsidRPr="00D74F30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  <w:t>Copyright © 2019 REGATRACE, All rights reserved.</w:t>
                              </w:r>
                            </w:p>
                            <w:p w14:paraId="5AAF9EAD" w14:textId="77777777" w:rsidR="006C4952" w:rsidRPr="00D74F30" w:rsidRDefault="00AF2D91" w:rsidP="006C4952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</w:pPr>
                              <w:hyperlink r:id="rId25" w:tgtFrame="_blank" w:history="1">
                                <w:r w:rsidR="006C4952" w:rsidRPr="00D74F30">
                                  <w:rPr>
                                    <w:rFonts w:ascii="Helvetica" w:eastAsia="Times New Roman" w:hAnsi="Helvetica" w:cs="Helvetica"/>
                                    <w:color w:val="656565"/>
                                    <w:sz w:val="18"/>
                                    <w:szCs w:val="18"/>
                                    <w:u w:val="single"/>
                                    <w:lang w:val="lt-LT"/>
                                  </w:rPr>
                                  <w:t>www.regatrace.eu</w:t>
                                </w:r>
                              </w:hyperlink>
                            </w:p>
                            <w:p w14:paraId="1E67384E" w14:textId="2F5041C8" w:rsidR="006C4952" w:rsidRPr="00D74F30" w:rsidRDefault="00660E23" w:rsidP="00D83D18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</w:pPr>
                              <w:r w:rsidRPr="00D74F30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  <w:t>Prisijunkite prie mūsų</w:t>
                              </w:r>
                              <w:r w:rsidR="006C4952" w:rsidRPr="00D74F30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val="lt-LT"/>
                                </w:rPr>
                                <w:t xml:space="preserve"> Twitter: </w:t>
                              </w:r>
                              <w:hyperlink r:id="rId26" w:tgtFrame="_blank" w:history="1">
                                <w:r w:rsidR="006C4952" w:rsidRPr="00D74F30">
                                  <w:rPr>
                                    <w:rFonts w:ascii="Helvetica" w:eastAsia="Times New Roman" w:hAnsi="Helvetica" w:cs="Helvetica"/>
                                    <w:color w:val="656565"/>
                                    <w:sz w:val="18"/>
                                    <w:szCs w:val="18"/>
                                    <w:u w:val="single"/>
                                    <w:lang w:val="lt-LT"/>
                                  </w:rPr>
                                  <w:t>@regatrace</w:t>
                                </w:r>
                              </w:hyperlink>
                            </w:p>
                          </w:tc>
                        </w:tr>
                      </w:tbl>
                      <w:p w14:paraId="6CC6B01D" w14:textId="77777777" w:rsidR="006C4952" w:rsidRPr="00D74F30" w:rsidRDefault="006C4952" w:rsidP="006C49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14:paraId="66ED00A7" w14:textId="77777777" w:rsidR="006C4952" w:rsidRPr="00D74F30" w:rsidRDefault="006C4952" w:rsidP="006C4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637C2743" w14:textId="77777777" w:rsidR="006C4952" w:rsidRPr="00D74F30" w:rsidRDefault="006C4952" w:rsidP="006C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CCEDD59" w14:textId="57F32F7A" w:rsidR="00CC34DE" w:rsidRPr="00D74F30" w:rsidRDefault="00CC34DE" w:rsidP="0050604D">
      <w:pPr>
        <w:spacing w:after="270" w:line="240" w:lineRule="auto"/>
        <w:rPr>
          <w:lang w:val="lt-LT"/>
        </w:rPr>
      </w:pPr>
      <w:bookmarkStart w:id="3" w:name="_GoBack"/>
      <w:bookmarkEnd w:id="3"/>
    </w:p>
    <w:sectPr w:rsidR="00CC34DE" w:rsidRPr="00D74F30" w:rsidSect="00394F3B">
      <w:pgSz w:w="12240" w:h="15840"/>
      <w:pgMar w:top="568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59A2" w14:textId="77777777" w:rsidR="00906874" w:rsidRDefault="00906874" w:rsidP="00906874">
      <w:pPr>
        <w:spacing w:after="0" w:line="240" w:lineRule="auto"/>
      </w:pPr>
      <w:r>
        <w:separator/>
      </w:r>
    </w:p>
  </w:endnote>
  <w:endnote w:type="continuationSeparator" w:id="0">
    <w:p w14:paraId="65ED60AF" w14:textId="77777777" w:rsidR="00906874" w:rsidRDefault="00906874" w:rsidP="0090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0030C" w14:textId="77777777" w:rsidR="00906874" w:rsidRDefault="00906874" w:rsidP="00906874">
      <w:pPr>
        <w:spacing w:after="0" w:line="240" w:lineRule="auto"/>
      </w:pPr>
      <w:r>
        <w:separator/>
      </w:r>
    </w:p>
  </w:footnote>
  <w:footnote w:type="continuationSeparator" w:id="0">
    <w:p w14:paraId="78DE6D3F" w14:textId="77777777" w:rsidR="00906874" w:rsidRDefault="00906874" w:rsidP="0090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B0A"/>
    <w:multiLevelType w:val="multilevel"/>
    <w:tmpl w:val="58A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52"/>
    <w:rsid w:val="00011A0E"/>
    <w:rsid w:val="00026D70"/>
    <w:rsid w:val="00084A0D"/>
    <w:rsid w:val="00086CEC"/>
    <w:rsid w:val="000E6746"/>
    <w:rsid w:val="00113AF8"/>
    <w:rsid w:val="0016092B"/>
    <w:rsid w:val="001F202A"/>
    <w:rsid w:val="00202A07"/>
    <w:rsid w:val="0023097C"/>
    <w:rsid w:val="002354E6"/>
    <w:rsid w:val="00257036"/>
    <w:rsid w:val="002A6723"/>
    <w:rsid w:val="002A70F6"/>
    <w:rsid w:val="002B2DA5"/>
    <w:rsid w:val="00394F3B"/>
    <w:rsid w:val="003A5363"/>
    <w:rsid w:val="00405B92"/>
    <w:rsid w:val="004148B2"/>
    <w:rsid w:val="00467DC4"/>
    <w:rsid w:val="004767CB"/>
    <w:rsid w:val="004A525F"/>
    <w:rsid w:val="004F13EF"/>
    <w:rsid w:val="004F5AB1"/>
    <w:rsid w:val="0050604D"/>
    <w:rsid w:val="00510029"/>
    <w:rsid w:val="0053105A"/>
    <w:rsid w:val="005A1CA8"/>
    <w:rsid w:val="005B6087"/>
    <w:rsid w:val="005F023C"/>
    <w:rsid w:val="00607724"/>
    <w:rsid w:val="00626533"/>
    <w:rsid w:val="00660E23"/>
    <w:rsid w:val="00663849"/>
    <w:rsid w:val="006C4952"/>
    <w:rsid w:val="00716047"/>
    <w:rsid w:val="007247E3"/>
    <w:rsid w:val="00733F26"/>
    <w:rsid w:val="007451F3"/>
    <w:rsid w:val="0077721D"/>
    <w:rsid w:val="00790AC4"/>
    <w:rsid w:val="007D6FE5"/>
    <w:rsid w:val="00832BEB"/>
    <w:rsid w:val="00855F27"/>
    <w:rsid w:val="00872997"/>
    <w:rsid w:val="00895EED"/>
    <w:rsid w:val="00906874"/>
    <w:rsid w:val="0091147D"/>
    <w:rsid w:val="00920690"/>
    <w:rsid w:val="00941B03"/>
    <w:rsid w:val="009E3658"/>
    <w:rsid w:val="009E392D"/>
    <w:rsid w:val="00A91EB4"/>
    <w:rsid w:val="00AF270F"/>
    <w:rsid w:val="00AF2D91"/>
    <w:rsid w:val="00B27104"/>
    <w:rsid w:val="00B56076"/>
    <w:rsid w:val="00B71A3E"/>
    <w:rsid w:val="00BC2A37"/>
    <w:rsid w:val="00BC658D"/>
    <w:rsid w:val="00C03277"/>
    <w:rsid w:val="00C36443"/>
    <w:rsid w:val="00C627AC"/>
    <w:rsid w:val="00CB33A5"/>
    <w:rsid w:val="00CC34DE"/>
    <w:rsid w:val="00CD1244"/>
    <w:rsid w:val="00D52A40"/>
    <w:rsid w:val="00D55A11"/>
    <w:rsid w:val="00D64D97"/>
    <w:rsid w:val="00D74F30"/>
    <w:rsid w:val="00D83D18"/>
    <w:rsid w:val="00D84ECF"/>
    <w:rsid w:val="00DC065D"/>
    <w:rsid w:val="00EF7F78"/>
    <w:rsid w:val="00F35DF5"/>
    <w:rsid w:val="00F82410"/>
    <w:rsid w:val="00F90B8B"/>
    <w:rsid w:val="00FA5020"/>
    <w:rsid w:val="00FE3CA3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DE998B"/>
  <w15:chartTrackingRefBased/>
  <w15:docId w15:val="{A7E273BC-0518-4076-AB9E-924693B3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9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4952"/>
    <w:rPr>
      <w:b/>
      <w:bCs/>
    </w:rPr>
  </w:style>
  <w:style w:type="character" w:styleId="Emphasis">
    <w:name w:val="Emphasis"/>
    <w:basedOn w:val="DefaultParagraphFont"/>
    <w:uiPriority w:val="20"/>
    <w:qFormat/>
    <w:rsid w:val="006C49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7C"/>
    <w:rPr>
      <w:rFonts w:ascii="Segoe UI" w:hAnsi="Segoe UI" w:cs="Segoe UI"/>
      <w:sz w:val="18"/>
      <w:szCs w:val="18"/>
    </w:rPr>
  </w:style>
  <w:style w:type="paragraph" w:customStyle="1" w:styleId="Text">
    <w:name w:val="Text"/>
    <w:autoRedefine/>
    <w:rsid w:val="0077721D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  <w:lang w:val="da-DK" w:eastAsia="de-AT"/>
    </w:rPr>
  </w:style>
  <w:style w:type="paragraph" w:styleId="ListParagraph">
    <w:name w:val="List Paragraph"/>
    <w:basedOn w:val="Normal"/>
    <w:uiPriority w:val="34"/>
    <w:qFormat/>
    <w:rsid w:val="00BC658D"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1A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DC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1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0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3C"/>
  </w:style>
  <w:style w:type="paragraph" w:styleId="Footer">
    <w:name w:val="footer"/>
    <w:basedOn w:val="Normal"/>
    <w:link w:val="FooterChar"/>
    <w:uiPriority w:val="99"/>
    <w:unhideWhenUsed/>
    <w:rsid w:val="005F0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atrace.eu/" TargetMode="External"/><Relationship Id="rId13" Type="http://schemas.openxmlformats.org/officeDocument/2006/relationships/hyperlink" Target="https://www.regatrace.eu/workshop-on-challenges-for-handling-gos-in-relation-with-energy-conversion-held-on-march-11th-2021/" TargetMode="External"/><Relationship Id="rId18" Type="http://schemas.openxmlformats.org/officeDocument/2006/relationships/hyperlink" Target="https://www.regatrace.eu/new-study-on-the-potential-of-biomethane-in-flanders/" TargetMode="External"/><Relationship Id="rId26" Type="http://schemas.openxmlformats.org/officeDocument/2006/relationships/hyperlink" Target="https://twitter.com/regatrace?lang=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gatrace.eu/eu-cohesion-policy-e216-million-to-modernise-bucharests-thermal-energy-transmission-syst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gatrace.eu/aebig-regatrace-renewable-gas-trade-center-in-europe-wg-of-biomethane-spain/" TargetMode="External"/><Relationship Id="rId17" Type="http://schemas.openxmlformats.org/officeDocument/2006/relationships/hyperlink" Target="https://www.regatrace.eu/second-workshop-biomethane-working-group-belgium/" TargetMode="External"/><Relationship Id="rId25" Type="http://schemas.openxmlformats.org/officeDocument/2006/relationships/hyperlink" Target="https://www.regatrace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atrace.eu/austrian-biogas-industry-expects-important-improvements-and-greater-consideration-of-green-gas-with-the-renewables-expansion-act-now-available-as-government-bill/" TargetMode="External"/><Relationship Id="rId20" Type="http://schemas.openxmlformats.org/officeDocument/2006/relationships/hyperlink" Target="https://www.regatrace.eu/future-of-lng-and-bio-lng-in-german-heavy-duty-transpo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atrace.eu/eu-methane-strategy-recognising-the-contribution-of-biogas-to-mitigate-methane-emissions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regatrace.eu/launch-of-the-regatrace-network/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regatrace.eu/construction-of-one-of-the-first-biomethane-liquefaction-plants-in-german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egatrace.eu/provisional-it-system-for-start-up-of-registries-delivered-to-regatrace-target-countries/" TargetMode="External"/><Relationship Id="rId22" Type="http://schemas.openxmlformats.org/officeDocument/2006/relationships/hyperlink" Target="https://www.regatrace.eu/the-spanish-ministry-for-ecological-transition-and-the-demographic-challenge-miterd-celebrates-the-approval-of-spains-first-climate-change-and-energy-transition-law-in-the-congress-of-deputi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141E-EE43-4683-BD42-F0B1F75C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6503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Grid</dc:creator>
  <cp:keywords/>
  <dc:description/>
  <cp:lastModifiedBy>Lina Rudzianskienė</cp:lastModifiedBy>
  <cp:revision>13</cp:revision>
  <cp:lastPrinted>2021-06-29T11:38:00Z</cp:lastPrinted>
  <dcterms:created xsi:type="dcterms:W3CDTF">2021-06-28T14:51:00Z</dcterms:created>
  <dcterms:modified xsi:type="dcterms:W3CDTF">2021-06-29T11:40:00Z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64948-aeeb-436c-a291-ab13687dc8ce_Enabled">
    <vt:lpwstr>true</vt:lpwstr>
  </property>
  <property fmtid="{D5CDD505-2E9C-101B-9397-08002B2CF9AE}" pid="3" name="MSIP_Label_75464948-aeeb-436c-a291-ab13687dc8ce_SetDate">
    <vt:lpwstr>2021-06-28T14:41:24Z</vt:lpwstr>
  </property>
  <property fmtid="{D5CDD505-2E9C-101B-9397-08002B2CF9AE}" pid="4" name="MSIP_Label_75464948-aeeb-436c-a291-ab13687dc8ce_Method">
    <vt:lpwstr>Standard</vt:lpwstr>
  </property>
  <property fmtid="{D5CDD505-2E9C-101B-9397-08002B2CF9AE}" pid="5" name="MSIP_Label_75464948-aeeb-436c-a291-ab13687dc8ce_Name">
    <vt:lpwstr>Internal</vt:lpwstr>
  </property>
  <property fmtid="{D5CDD505-2E9C-101B-9397-08002B2CF9AE}" pid="6" name="MSIP_Label_75464948-aeeb-436c-a291-ab13687dc8ce_SiteId">
    <vt:lpwstr>e54289c6-b630-4215-acc5-57eec01212d6</vt:lpwstr>
  </property>
  <property fmtid="{D5CDD505-2E9C-101B-9397-08002B2CF9AE}" pid="7" name="MSIP_Label_75464948-aeeb-436c-a291-ab13687dc8ce_ActionId">
    <vt:lpwstr>57ec650f-3d5b-48d6-9fe6-b9ed0e2b520d</vt:lpwstr>
  </property>
  <property fmtid="{D5CDD505-2E9C-101B-9397-08002B2CF9AE}" pid="8" name="MSIP_Label_75464948-aeeb-436c-a291-ab13687dc8ce_ContentBits">
    <vt:lpwstr>0</vt:lpwstr>
  </property>
</Properties>
</file>